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53" w:rsidRPr="007A395D" w:rsidRDefault="007F3553" w:rsidP="007F3553">
      <w:pPr>
        <w:pStyle w:val="Header"/>
        <w:jc w:val="right"/>
        <w:rPr>
          <w:lang w:eastAsia="ko-KR"/>
        </w:rPr>
      </w:pPr>
      <w:r w:rsidRPr="007A395D">
        <w:t xml:space="preserve">Input paper: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Pr="007A395D">
        <w:t xml:space="preserve">  </w:t>
      </w:r>
      <w:r w:rsidR="002E1537">
        <w:t>ENAV22-</w:t>
      </w:r>
      <w:r w:rsidR="000133D2">
        <w:t>9.2.12</w:t>
      </w:r>
    </w:p>
    <w:p w:rsidR="007F3553" w:rsidRPr="007A395D" w:rsidRDefault="007F3553" w:rsidP="007F3553">
      <w:pPr>
        <w:pStyle w:val="BodyText"/>
      </w:pPr>
    </w:p>
    <w:p w:rsidR="007F3553" w:rsidRPr="007A395D" w:rsidRDefault="007F3553" w:rsidP="007F3553">
      <w:pPr>
        <w:pStyle w:val="BodyText"/>
      </w:pPr>
    </w:p>
    <w:p w:rsidR="007F3553" w:rsidRPr="007A395D" w:rsidRDefault="007F3553" w:rsidP="007F3553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7F3553" w:rsidRPr="007A395D" w:rsidRDefault="007F3553" w:rsidP="007F3553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Pr="007A395D">
        <w:tab/>
      </w:r>
      <w:r>
        <w:tab/>
      </w:r>
      <w:r w:rsidRPr="007A395D">
        <w:tab/>
      </w:r>
      <w:r w:rsidRPr="007A395D">
        <w:tab/>
      </w:r>
      <w:r w:rsidR="00B66211">
        <w:rPr>
          <w:b/>
        </w:rPr>
        <w:t xml:space="preserve">X </w:t>
      </w:r>
      <w:r w:rsidRPr="007A395D">
        <w:t xml:space="preserve"> Input</w:t>
      </w:r>
    </w:p>
    <w:p w:rsidR="007F3553" w:rsidRPr="007A395D" w:rsidRDefault="007F3553" w:rsidP="007F3553">
      <w:pPr>
        <w:pStyle w:val="BodyText"/>
      </w:pPr>
      <w:r>
        <w:t>X</w:t>
      </w:r>
      <w:r w:rsidRPr="007A395D">
        <w:t xml:space="preserve">  ENAV</w:t>
      </w:r>
      <w:r>
        <w:tab/>
      </w:r>
      <w:r w:rsidRPr="007A395D">
        <w:rPr>
          <w:b/>
        </w:rPr>
        <w:tab/>
      </w:r>
      <w:proofErr w:type="gramStart"/>
      <w:r w:rsidRPr="007A395D">
        <w:rPr>
          <w:b/>
        </w:rPr>
        <w:t>□</w:t>
      </w:r>
      <w:r w:rsidRPr="007A395D">
        <w:t xml:space="preserve">  VTS</w:t>
      </w:r>
      <w:proofErr w:type="gramEnd"/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>
        <w:tab/>
      </w:r>
      <w:r w:rsidR="00B66211" w:rsidRPr="007A395D">
        <w:rPr>
          <w:b/>
        </w:rPr>
        <w:t>□</w:t>
      </w:r>
      <w:r w:rsidR="00B66211" w:rsidRPr="007A395D">
        <w:t xml:space="preserve">  </w:t>
      </w:r>
      <w:r w:rsidRPr="007A395D">
        <w:t>Information</w:t>
      </w:r>
    </w:p>
    <w:p w:rsidR="007F3553" w:rsidRPr="007A395D" w:rsidRDefault="007F3553" w:rsidP="007F3553">
      <w:pPr>
        <w:pStyle w:val="BodyText"/>
      </w:pPr>
    </w:p>
    <w:p w:rsidR="007F3553" w:rsidRPr="007A395D" w:rsidRDefault="007F3553" w:rsidP="007F3553">
      <w:pPr>
        <w:pStyle w:val="BodyText"/>
      </w:pPr>
      <w:r w:rsidRPr="00163047">
        <w:t>Agenda</w:t>
      </w:r>
      <w:r w:rsidRPr="007A395D">
        <w:t xml:space="preserve"> item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Pr="007A395D">
        <w:tab/>
      </w:r>
      <w:r w:rsidRPr="007A395D">
        <w:tab/>
      </w:r>
      <w:r w:rsidRPr="007A395D">
        <w:tab/>
      </w:r>
      <w:r>
        <w:tab/>
      </w:r>
      <w:r w:rsidR="000133D2">
        <w:t>9</w:t>
      </w:r>
    </w:p>
    <w:p w:rsidR="007F3553" w:rsidRPr="007A395D" w:rsidRDefault="007F3553" w:rsidP="007F3553">
      <w:pPr>
        <w:pStyle w:val="BodyText"/>
        <w:rPr>
          <w:lang w:eastAsia="ko-KR"/>
        </w:rPr>
      </w:pPr>
      <w:r w:rsidRPr="007A395D">
        <w:t xml:space="preserve">Technical Domain / Task Number </w:t>
      </w:r>
      <w:r w:rsidRPr="007A395D">
        <w:rPr>
          <w:vertAlign w:val="superscript"/>
        </w:rPr>
        <w:t>2</w:t>
      </w:r>
      <w:r w:rsidRPr="007A395D">
        <w:tab/>
      </w:r>
      <w:r w:rsidR="00B934D3">
        <w:rPr>
          <w:rFonts w:hint="eastAsia"/>
          <w:lang w:eastAsia="ko-KR"/>
        </w:rPr>
        <w:t>W</w:t>
      </w:r>
      <w:r w:rsidR="00B934D3">
        <w:rPr>
          <w:lang w:eastAsia="ko-KR"/>
        </w:rPr>
        <w:t>orking Group 2 (Digital Communication system)</w:t>
      </w:r>
    </w:p>
    <w:p w:rsidR="00B66211" w:rsidRDefault="007F3553" w:rsidP="00B66211">
      <w:pPr>
        <w:pStyle w:val="BodyText"/>
        <w:tabs>
          <w:tab w:val="left" w:pos="2835"/>
        </w:tabs>
        <w:rPr>
          <w:sz w:val="20"/>
          <w:szCs w:val="20"/>
          <w:lang w:val="en-US"/>
        </w:rPr>
      </w:pPr>
      <w:r w:rsidRPr="007A395D">
        <w:t>Author(s) / Submitter(s)</w:t>
      </w:r>
      <w:r w:rsidRPr="007A395D">
        <w:tab/>
      </w:r>
      <w:r w:rsidRPr="007A395D">
        <w:tab/>
      </w:r>
      <w:r w:rsidRPr="007A395D">
        <w:tab/>
      </w:r>
      <w:r w:rsidR="00702FD9">
        <w:t xml:space="preserve">KIM </w:t>
      </w:r>
      <w:proofErr w:type="spellStart"/>
      <w:r w:rsidR="00702FD9">
        <w:t>Wonyong</w:t>
      </w:r>
      <w:proofErr w:type="spellEnd"/>
      <w:r w:rsidR="002556DE">
        <w:t xml:space="preserve"> (</w:t>
      </w:r>
      <w:r w:rsidR="00702FD9">
        <w:rPr>
          <w:sz w:val="20"/>
          <w:szCs w:val="20"/>
          <w:lang w:val="en-US"/>
        </w:rPr>
        <w:t>COMESTA</w:t>
      </w:r>
      <w:r w:rsidR="002556DE">
        <w:rPr>
          <w:sz w:val="20"/>
          <w:szCs w:val="20"/>
          <w:lang w:val="en-US"/>
        </w:rPr>
        <w:t>)</w:t>
      </w:r>
    </w:p>
    <w:p w:rsidR="00702FD9" w:rsidRDefault="00702FD9" w:rsidP="00B66211">
      <w:pPr>
        <w:pStyle w:val="BodyText"/>
        <w:tabs>
          <w:tab w:val="left" w:pos="2835"/>
        </w:tabs>
        <w:rPr>
          <w:sz w:val="20"/>
          <w:szCs w:val="20"/>
          <w:lang w:val="en-US"/>
        </w:rPr>
      </w:pPr>
      <w:r>
        <w:tab/>
      </w:r>
      <w:r>
        <w:tab/>
      </w:r>
      <w:r>
        <w:tab/>
        <w:t xml:space="preserve">KIM </w:t>
      </w:r>
      <w:proofErr w:type="spellStart"/>
      <w:r>
        <w:t>Juntae</w:t>
      </w:r>
      <w:proofErr w:type="spellEnd"/>
      <w:r w:rsidR="002556DE">
        <w:t xml:space="preserve"> (</w:t>
      </w:r>
      <w:r>
        <w:rPr>
          <w:lang w:val="en-US"/>
        </w:rPr>
        <w:t>Korean Register</w:t>
      </w:r>
      <w:r w:rsidR="002556DE">
        <w:rPr>
          <w:lang w:val="en-US"/>
        </w:rPr>
        <w:t>)</w:t>
      </w:r>
    </w:p>
    <w:p w:rsidR="007F3553" w:rsidRPr="00D853D8" w:rsidRDefault="007F3553" w:rsidP="00D853D8">
      <w:pPr>
        <w:pStyle w:val="BodyText"/>
        <w:ind w:left="3600"/>
        <w:jc w:val="left"/>
        <w:rPr>
          <w:color w:val="FF0000"/>
          <w:lang w:val="en-US"/>
        </w:rPr>
      </w:pPr>
    </w:p>
    <w:p w:rsidR="004C1FD5" w:rsidRPr="00702FD9" w:rsidRDefault="00C57F60" w:rsidP="00702FD9">
      <w:pPr>
        <w:pStyle w:val="Title"/>
        <w:rPr>
          <w:rFonts w:ascii="Calibri" w:hAnsi="Calibri"/>
          <w:color w:val="0070C0"/>
          <w:lang w:val="en-US" w:eastAsia="ko-KR"/>
        </w:rPr>
      </w:pPr>
      <w:r w:rsidRPr="00702FD9">
        <w:rPr>
          <w:rFonts w:ascii="Calibri" w:hAnsi="Calibri"/>
          <w:color w:val="0070C0"/>
          <w:lang w:val="en-US" w:eastAsia="ko-KR"/>
        </w:rPr>
        <w:t>Analysis of the effect of short training sequence</w:t>
      </w:r>
      <w:r w:rsidR="000133D2">
        <w:rPr>
          <w:rFonts w:ascii="Calibri" w:hAnsi="Calibri"/>
          <w:color w:val="0070C0"/>
          <w:lang w:val="en-US" w:eastAsia="ko-KR"/>
        </w:rPr>
        <w:t xml:space="preserve"> </w:t>
      </w:r>
      <w:r w:rsidR="00020C80" w:rsidRPr="00702FD9">
        <w:rPr>
          <w:rFonts w:ascii="Calibri" w:hAnsi="Calibri"/>
          <w:color w:val="0070C0"/>
          <w:lang w:val="en-US" w:eastAsia="ko-KR"/>
        </w:rPr>
        <w:t>(</w:t>
      </w:r>
      <w:proofErr w:type="spellStart"/>
      <w:r w:rsidR="00020C80" w:rsidRPr="00702FD9">
        <w:rPr>
          <w:rFonts w:ascii="Calibri" w:hAnsi="Calibri"/>
          <w:color w:val="0070C0"/>
          <w:lang w:val="en-US" w:eastAsia="ko-KR"/>
        </w:rPr>
        <w:t>Syncword</w:t>
      </w:r>
      <w:proofErr w:type="spellEnd"/>
      <w:r w:rsidR="00020C80" w:rsidRPr="00702FD9">
        <w:rPr>
          <w:rFonts w:ascii="Calibri" w:hAnsi="Calibri"/>
          <w:color w:val="0070C0"/>
          <w:lang w:val="en-US" w:eastAsia="ko-KR"/>
        </w:rPr>
        <w:t>)</w:t>
      </w:r>
      <w:r w:rsidRPr="00702FD9">
        <w:rPr>
          <w:rFonts w:ascii="Calibri" w:hAnsi="Calibri"/>
          <w:color w:val="0070C0"/>
          <w:lang w:val="en-US" w:eastAsia="ko-KR"/>
        </w:rPr>
        <w:t xml:space="preserve"> </w:t>
      </w:r>
      <w:r w:rsidR="002E1537">
        <w:rPr>
          <w:rFonts w:ascii="Calibri" w:hAnsi="Calibri"/>
          <w:color w:val="0070C0"/>
          <w:lang w:val="en-US" w:eastAsia="ko-KR"/>
        </w:rPr>
        <w:br/>
      </w:r>
      <w:r w:rsidRPr="00702FD9">
        <w:rPr>
          <w:rFonts w:ascii="Calibri" w:hAnsi="Calibri"/>
          <w:color w:val="0070C0"/>
          <w:lang w:val="en-US" w:eastAsia="ko-KR"/>
        </w:rPr>
        <w:t>on B</w:t>
      </w:r>
      <w:r w:rsidR="00794A72" w:rsidRPr="00702FD9">
        <w:rPr>
          <w:rFonts w:ascii="Calibri" w:hAnsi="Calibri"/>
          <w:color w:val="0070C0"/>
          <w:lang w:val="en-US" w:eastAsia="ko-KR"/>
        </w:rPr>
        <w:t xml:space="preserve">it </w:t>
      </w:r>
      <w:r w:rsidRPr="00702FD9">
        <w:rPr>
          <w:rFonts w:ascii="Calibri" w:hAnsi="Calibri"/>
          <w:color w:val="0070C0"/>
          <w:lang w:val="en-US" w:eastAsia="ko-KR"/>
        </w:rPr>
        <w:t>E</w:t>
      </w:r>
      <w:r w:rsidR="00794A72" w:rsidRPr="00702FD9">
        <w:rPr>
          <w:rFonts w:ascii="Calibri" w:hAnsi="Calibri"/>
          <w:color w:val="0070C0"/>
          <w:lang w:val="en-US" w:eastAsia="ko-KR"/>
        </w:rPr>
        <w:t xml:space="preserve">rror </w:t>
      </w:r>
      <w:r w:rsidRPr="00702FD9">
        <w:rPr>
          <w:rFonts w:ascii="Calibri" w:hAnsi="Calibri"/>
          <w:color w:val="0070C0"/>
          <w:lang w:val="en-US" w:eastAsia="ko-KR"/>
        </w:rPr>
        <w:t>R</w:t>
      </w:r>
      <w:r w:rsidR="00794A72" w:rsidRPr="00702FD9">
        <w:rPr>
          <w:rFonts w:ascii="Calibri" w:hAnsi="Calibri"/>
          <w:color w:val="0070C0"/>
          <w:lang w:val="en-US" w:eastAsia="ko-KR"/>
        </w:rPr>
        <w:t>atio</w:t>
      </w:r>
      <w:r w:rsidRPr="00702FD9">
        <w:rPr>
          <w:rFonts w:ascii="Calibri" w:hAnsi="Calibri"/>
          <w:color w:val="0070C0"/>
          <w:lang w:val="en-US" w:eastAsia="ko-KR"/>
        </w:rPr>
        <w:t xml:space="preserve"> performance</w:t>
      </w:r>
    </w:p>
    <w:p w:rsidR="00C57F60" w:rsidRPr="00702FD9" w:rsidRDefault="00C57F60" w:rsidP="004C1FD5">
      <w:pPr>
        <w:rPr>
          <w:lang w:val="en-US"/>
        </w:rPr>
      </w:pPr>
    </w:p>
    <w:p w:rsidR="007F3553" w:rsidRPr="00605E43" w:rsidRDefault="007F3553" w:rsidP="00FD16E8">
      <w:pPr>
        <w:pStyle w:val="Heading1"/>
      </w:pPr>
      <w:r w:rsidRPr="00FD16E8">
        <w:t>Summary</w:t>
      </w:r>
    </w:p>
    <w:p w:rsidR="00C27D36" w:rsidRDefault="00C27D36" w:rsidP="00FD16E8">
      <w:pPr>
        <w:pStyle w:val="BodyText"/>
      </w:pPr>
      <w:r>
        <w:t xml:space="preserve">This input paper </w:t>
      </w:r>
      <w:r w:rsidR="001B4717">
        <w:t>is to discuss</w:t>
      </w:r>
      <w:r w:rsidR="00456BAC">
        <w:t xml:space="preserve"> the problem on</w:t>
      </w:r>
      <w:r>
        <w:t xml:space="preserve"> </w:t>
      </w:r>
      <w:r w:rsidR="00456BAC">
        <w:t>BER</w:t>
      </w:r>
      <w:r w:rsidR="000133D2">
        <w:t xml:space="preserve"> </w:t>
      </w:r>
      <w:r w:rsidR="00456BAC">
        <w:t xml:space="preserve">(Bit Error Ratio) </w:t>
      </w:r>
      <w:r>
        <w:t xml:space="preserve">performance degradation </w:t>
      </w:r>
      <w:r w:rsidR="00456BAC">
        <w:t xml:space="preserve">due to </w:t>
      </w:r>
      <w:r>
        <w:t>the frequency offset when imple</w:t>
      </w:r>
      <w:r w:rsidR="00456BAC">
        <w:t xml:space="preserve">menting the physical layer of the </w:t>
      </w:r>
      <w:r>
        <w:t xml:space="preserve">receiver </w:t>
      </w:r>
      <w:r w:rsidR="00456BAC">
        <w:t xml:space="preserve">of ASM and VDE-TER </w:t>
      </w:r>
      <w:r>
        <w:t>accordin</w:t>
      </w:r>
      <w:r w:rsidR="0094718B">
        <w:t>g to IALA Guideline G1139 Ed.1. T</w:t>
      </w:r>
      <w:r w:rsidR="00456BAC">
        <w:t>he problem on</w:t>
      </w:r>
      <w:r w:rsidR="00AD0A80" w:rsidRPr="00AD0A80">
        <w:t xml:space="preserve"> performance degradation </w:t>
      </w:r>
      <w:r w:rsidR="0094718B">
        <w:t xml:space="preserve">caused by </w:t>
      </w:r>
      <w:r w:rsidR="00AD0A80" w:rsidRPr="00AD0A80">
        <w:t xml:space="preserve">short </w:t>
      </w:r>
      <w:r w:rsidR="0094718B">
        <w:t xml:space="preserve">length of </w:t>
      </w:r>
      <w:r w:rsidR="00AD0A80" w:rsidRPr="00AD0A80">
        <w:t xml:space="preserve">training sequence </w:t>
      </w:r>
      <w:r w:rsidR="0094718B">
        <w:t>was identified though</w:t>
      </w:r>
      <w:r w:rsidR="00AD0A80" w:rsidRPr="00AD0A80">
        <w:t xml:space="preserve"> simulations </w:t>
      </w:r>
      <w:r w:rsidR="00256890">
        <w:t xml:space="preserve">and </w:t>
      </w:r>
      <w:r w:rsidR="00AD0A80" w:rsidRPr="00AD0A80">
        <w:t>the effective frequency offset processing method</w:t>
      </w:r>
      <w:r w:rsidR="001B4717">
        <w:t xml:space="preserve"> </w:t>
      </w:r>
      <w:r w:rsidR="0094718B">
        <w:t xml:space="preserve">to solve the problem </w:t>
      </w:r>
      <w:r w:rsidR="001B4717">
        <w:t>was reviewed</w:t>
      </w:r>
      <w:r w:rsidR="0094718B">
        <w:t xml:space="preserve"> in the paper</w:t>
      </w:r>
      <w:r w:rsidR="00AD0A80" w:rsidRPr="00AD0A80">
        <w:t>.</w:t>
      </w:r>
    </w:p>
    <w:p w:rsidR="00EB2F64" w:rsidRDefault="00EB2F64" w:rsidP="00705573">
      <w:pPr>
        <w:pStyle w:val="BodyText"/>
        <w:rPr>
          <w:lang w:eastAsia="ko-KR"/>
        </w:rPr>
      </w:pPr>
    </w:p>
    <w:p w:rsidR="007F3553" w:rsidRPr="00605E43" w:rsidRDefault="007F3553" w:rsidP="007F3553">
      <w:pPr>
        <w:pStyle w:val="Heading2"/>
        <w:numPr>
          <w:ilvl w:val="1"/>
          <w:numId w:val="14"/>
        </w:numPr>
        <w:jc w:val="both"/>
      </w:pPr>
      <w:r w:rsidRPr="00605E43">
        <w:t>Purpose of the document</w:t>
      </w:r>
    </w:p>
    <w:p w:rsidR="008B686C" w:rsidRDefault="001B4717" w:rsidP="0000760F">
      <w:pPr>
        <w:pStyle w:val="BodyText"/>
        <w:rPr>
          <w:lang w:eastAsia="ko-KR"/>
        </w:rPr>
      </w:pPr>
      <w:r>
        <w:rPr>
          <w:lang w:eastAsia="ko-KR"/>
        </w:rPr>
        <w:t>This input paper</w:t>
      </w:r>
      <w:r w:rsidR="00AD0A80" w:rsidRPr="00AD0A80">
        <w:rPr>
          <w:lang w:eastAsia="ko-KR"/>
        </w:rPr>
        <w:t xml:space="preserve"> </w:t>
      </w:r>
      <w:r w:rsidR="0094718B">
        <w:rPr>
          <w:lang w:eastAsia="ko-KR"/>
        </w:rPr>
        <w:t>is aiming to</w:t>
      </w:r>
      <w:r w:rsidR="00256890">
        <w:rPr>
          <w:lang w:eastAsia="ko-KR"/>
        </w:rPr>
        <w:t xml:space="preserve"> </w:t>
      </w:r>
      <w:r w:rsidR="0094718B">
        <w:rPr>
          <w:lang w:eastAsia="ko-KR"/>
        </w:rPr>
        <w:t xml:space="preserve">discuss </w:t>
      </w:r>
      <w:r w:rsidR="00256890">
        <w:rPr>
          <w:lang w:eastAsia="ko-KR"/>
        </w:rPr>
        <w:t>the problem on</w:t>
      </w:r>
      <w:r w:rsidR="00AD0A80" w:rsidRPr="00AD0A80">
        <w:rPr>
          <w:lang w:eastAsia="ko-KR"/>
        </w:rPr>
        <w:t xml:space="preserve"> performance degradation caused by </w:t>
      </w:r>
      <w:r w:rsidRPr="00AD0A80">
        <w:rPr>
          <w:lang w:eastAsia="ko-KR"/>
        </w:rPr>
        <w:t>length problem</w:t>
      </w:r>
      <w:r>
        <w:rPr>
          <w:lang w:eastAsia="ko-KR"/>
        </w:rPr>
        <w:t xml:space="preserve"> of Training </w:t>
      </w:r>
      <w:proofErr w:type="gramStart"/>
      <w:r>
        <w:rPr>
          <w:lang w:eastAsia="ko-KR"/>
        </w:rPr>
        <w:t>Sequence</w:t>
      </w:r>
      <w:r w:rsidR="00AD0A80" w:rsidRPr="00AD0A80">
        <w:rPr>
          <w:lang w:eastAsia="ko-KR"/>
        </w:rPr>
        <w:t>(</w:t>
      </w:r>
      <w:proofErr w:type="spellStart"/>
      <w:proofErr w:type="gramEnd"/>
      <w:r w:rsidR="00E45675">
        <w:rPr>
          <w:lang w:eastAsia="ko-KR"/>
        </w:rPr>
        <w:t>S</w:t>
      </w:r>
      <w:r w:rsidR="00AD0A80" w:rsidRPr="00AD0A80">
        <w:rPr>
          <w:lang w:eastAsia="ko-KR"/>
        </w:rPr>
        <w:t>yncword</w:t>
      </w:r>
      <w:proofErr w:type="spellEnd"/>
      <w:r w:rsidR="00AD0A80" w:rsidRPr="00AD0A80">
        <w:rPr>
          <w:lang w:eastAsia="ko-KR"/>
        </w:rPr>
        <w:t xml:space="preserve">) </w:t>
      </w:r>
      <w:r w:rsidR="00256890">
        <w:rPr>
          <w:lang w:eastAsia="ko-KR"/>
        </w:rPr>
        <w:t>a</w:t>
      </w:r>
      <w:r>
        <w:rPr>
          <w:lang w:eastAsia="ko-KR"/>
        </w:rPr>
        <w:t>ccording to IALA Guideline G1139 Ed.1</w:t>
      </w:r>
      <w:r w:rsidR="00AD0A80" w:rsidRPr="00AD0A80">
        <w:rPr>
          <w:lang w:eastAsia="ko-KR"/>
        </w:rPr>
        <w:t>.</w:t>
      </w:r>
    </w:p>
    <w:p w:rsidR="001F3A55" w:rsidRPr="008C53AA" w:rsidRDefault="001F3A55" w:rsidP="0000760F">
      <w:pPr>
        <w:pStyle w:val="BodyText"/>
        <w:rPr>
          <w:lang w:eastAsia="ko-KR"/>
        </w:rPr>
      </w:pPr>
    </w:p>
    <w:p w:rsidR="007F3553" w:rsidRPr="007A395D" w:rsidRDefault="007F3553" w:rsidP="007F3553">
      <w:pPr>
        <w:pStyle w:val="Heading2"/>
        <w:numPr>
          <w:ilvl w:val="1"/>
          <w:numId w:val="14"/>
        </w:numPr>
        <w:jc w:val="both"/>
      </w:pPr>
      <w:r w:rsidRPr="007A395D">
        <w:t>Related documents</w:t>
      </w:r>
    </w:p>
    <w:p w:rsidR="00BA5998" w:rsidRPr="00B563FA" w:rsidRDefault="00FD16E8" w:rsidP="00BA5998">
      <w:pPr>
        <w:pStyle w:val="BodyText"/>
        <w:rPr>
          <w:lang w:eastAsia="ko-KR"/>
        </w:rPr>
      </w:pPr>
      <w:r>
        <w:rPr>
          <w:rFonts w:hint="eastAsia"/>
          <w:lang w:eastAsia="ko-KR"/>
        </w:rPr>
        <w:t>N</w:t>
      </w:r>
      <w:r w:rsidR="001368C8">
        <w:rPr>
          <w:rFonts w:hint="eastAsia"/>
          <w:lang w:eastAsia="ko-KR"/>
        </w:rPr>
        <w:t>one</w:t>
      </w:r>
    </w:p>
    <w:p w:rsidR="003E0FF4" w:rsidRPr="007A395D" w:rsidRDefault="003E0FF4" w:rsidP="00BA5998">
      <w:pPr>
        <w:pStyle w:val="BodyText"/>
        <w:rPr>
          <w:lang w:eastAsia="ko-KR"/>
        </w:rPr>
      </w:pPr>
    </w:p>
    <w:p w:rsidR="007F3553" w:rsidRDefault="007F3553" w:rsidP="007F3553">
      <w:pPr>
        <w:pStyle w:val="Heading1"/>
        <w:numPr>
          <w:ilvl w:val="0"/>
          <w:numId w:val="14"/>
        </w:numPr>
        <w:jc w:val="both"/>
      </w:pPr>
      <w:r w:rsidRPr="007A395D">
        <w:t>Background</w:t>
      </w:r>
    </w:p>
    <w:p w:rsidR="00AD0A80" w:rsidRDefault="00AD0A80" w:rsidP="009E4333">
      <w:pPr>
        <w:pStyle w:val="BodyText"/>
        <w:rPr>
          <w:lang w:eastAsia="ko-KR"/>
        </w:rPr>
      </w:pPr>
      <w:r w:rsidRPr="00AD0A80">
        <w:rPr>
          <w:lang w:eastAsia="ko-KR"/>
        </w:rPr>
        <w:t xml:space="preserve">The VDES physical layer </w:t>
      </w:r>
      <w:r w:rsidR="00323ACE">
        <w:rPr>
          <w:lang w:eastAsia="ko-KR"/>
        </w:rPr>
        <w:t xml:space="preserve">is designed by </w:t>
      </w:r>
      <w:r w:rsidRPr="00AD0A80">
        <w:rPr>
          <w:lang w:eastAsia="ko-KR"/>
        </w:rPr>
        <w:t xml:space="preserve">TDMA </w:t>
      </w:r>
      <w:r w:rsidR="00323ACE">
        <w:rPr>
          <w:lang w:eastAsia="ko-KR"/>
        </w:rPr>
        <w:t>method</w:t>
      </w:r>
      <w:r w:rsidRPr="00AD0A80">
        <w:rPr>
          <w:lang w:eastAsia="ko-KR"/>
        </w:rPr>
        <w:t xml:space="preserve"> and the frame structure </w:t>
      </w:r>
      <w:r w:rsidR="0094718B">
        <w:rPr>
          <w:lang w:eastAsia="ko-KR"/>
        </w:rPr>
        <w:t>of</w:t>
      </w:r>
      <w:r w:rsidR="00323ACE">
        <w:rPr>
          <w:lang w:eastAsia="ko-KR"/>
        </w:rPr>
        <w:t xml:space="preserve"> </w:t>
      </w:r>
      <w:r w:rsidRPr="00AD0A80">
        <w:rPr>
          <w:lang w:eastAsia="ko-KR"/>
        </w:rPr>
        <w:t>the burst</w:t>
      </w:r>
      <w:r w:rsidR="00F37083">
        <w:rPr>
          <w:lang w:eastAsia="ko-KR"/>
        </w:rPr>
        <w:t xml:space="preserve"> signalling method</w:t>
      </w:r>
      <w:r w:rsidR="0094718B">
        <w:rPr>
          <w:lang w:eastAsia="ko-KR"/>
        </w:rPr>
        <w:t xml:space="preserve"> is used</w:t>
      </w:r>
      <w:r w:rsidR="00F37083">
        <w:rPr>
          <w:lang w:eastAsia="ko-KR"/>
        </w:rPr>
        <w:t xml:space="preserve"> according to</w:t>
      </w:r>
      <w:r w:rsidRPr="00AD0A80">
        <w:rPr>
          <w:lang w:eastAsia="ko-KR"/>
        </w:rPr>
        <w:t xml:space="preserve"> ITU-R M.1371</w:t>
      </w:r>
      <w:r w:rsidR="00F37083">
        <w:rPr>
          <w:lang w:eastAsia="ko-KR"/>
        </w:rPr>
        <w:t>-5,</w:t>
      </w:r>
      <w:r w:rsidRPr="00AD0A80">
        <w:rPr>
          <w:lang w:eastAsia="ko-KR"/>
        </w:rPr>
        <w:t xml:space="preserve"> </w:t>
      </w:r>
      <w:r w:rsidR="00F37083">
        <w:rPr>
          <w:lang w:eastAsia="ko-KR"/>
        </w:rPr>
        <w:t>i</w:t>
      </w:r>
      <w:r w:rsidR="00323ACE">
        <w:rPr>
          <w:lang w:eastAsia="ko-KR"/>
        </w:rPr>
        <w:t xml:space="preserve">n addition, </w:t>
      </w:r>
      <w:r w:rsidR="00F37083">
        <w:rPr>
          <w:lang w:eastAsia="ko-KR"/>
        </w:rPr>
        <w:t>t</w:t>
      </w:r>
      <w:r w:rsidRPr="00AD0A80">
        <w:rPr>
          <w:lang w:eastAsia="ko-KR"/>
        </w:rPr>
        <w:t>urbo code, CRC-32</w:t>
      </w:r>
      <w:r w:rsidR="00323ACE">
        <w:rPr>
          <w:lang w:eastAsia="ko-KR"/>
        </w:rPr>
        <w:t xml:space="preserve">, </w:t>
      </w:r>
      <w:r w:rsidRPr="00AD0A80">
        <w:rPr>
          <w:lang w:eastAsia="ko-KR"/>
        </w:rPr>
        <w:t>bit scrambler</w:t>
      </w:r>
      <w:r w:rsidR="00323ACE">
        <w:rPr>
          <w:lang w:eastAsia="ko-KR"/>
        </w:rPr>
        <w:t>,</w:t>
      </w:r>
      <w:r w:rsidRPr="00AD0A80">
        <w:rPr>
          <w:lang w:eastAsia="ko-KR"/>
        </w:rPr>
        <w:t xml:space="preserve"> </w:t>
      </w:r>
      <w:r w:rsidR="004147C7">
        <w:rPr>
          <w:rFonts w:hint="eastAsia"/>
          <w:lang w:eastAsia="ko-KR"/>
        </w:rPr>
        <w:t xml:space="preserve">PSK/QAM </w:t>
      </w:r>
      <w:r w:rsidRPr="00AD0A80">
        <w:rPr>
          <w:lang w:eastAsia="ko-KR"/>
        </w:rPr>
        <w:t>modulation</w:t>
      </w:r>
      <w:r w:rsidR="00223D8A">
        <w:rPr>
          <w:lang w:eastAsia="ko-KR"/>
        </w:rPr>
        <w:t xml:space="preserve"> </w:t>
      </w:r>
      <w:r w:rsidR="00323ACE">
        <w:rPr>
          <w:lang w:eastAsia="ko-KR"/>
        </w:rPr>
        <w:t xml:space="preserve">are used. The following </w:t>
      </w:r>
      <w:r w:rsidRPr="00AD0A80">
        <w:rPr>
          <w:lang w:eastAsia="ko-KR"/>
        </w:rPr>
        <w:t>table</w:t>
      </w:r>
      <w:r w:rsidR="0094718B">
        <w:rPr>
          <w:lang w:eastAsia="ko-KR"/>
        </w:rPr>
        <w:t xml:space="preserve"> 1 </w:t>
      </w:r>
      <w:r w:rsidR="004147C7">
        <w:rPr>
          <w:rFonts w:hint="eastAsia"/>
          <w:lang w:eastAsia="ko-KR"/>
        </w:rPr>
        <w:t>summarizes</w:t>
      </w:r>
      <w:r w:rsidR="00223D8A">
        <w:rPr>
          <w:lang w:eastAsia="ko-KR"/>
        </w:rPr>
        <w:t xml:space="preserve"> </w:t>
      </w:r>
      <w:r w:rsidRPr="00AD0A80">
        <w:rPr>
          <w:lang w:eastAsia="ko-KR"/>
        </w:rPr>
        <w:t>the main system parameters of the VDES physical layer.</w:t>
      </w:r>
    </w:p>
    <w:p w:rsidR="00AD0A80" w:rsidRDefault="00AD0A80" w:rsidP="009E4333">
      <w:pPr>
        <w:pStyle w:val="BodyText"/>
        <w:rPr>
          <w:lang w:eastAsia="ko-KR"/>
        </w:rPr>
      </w:pPr>
    </w:p>
    <w:p w:rsidR="00FD16E8" w:rsidRDefault="00FD16E8" w:rsidP="009E4333">
      <w:pPr>
        <w:pStyle w:val="BodyText"/>
        <w:rPr>
          <w:lang w:eastAsia="ko-KR"/>
        </w:rPr>
      </w:pPr>
    </w:p>
    <w:p w:rsidR="00FD16E8" w:rsidRDefault="00E95DAF" w:rsidP="00E45675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0133D2">
        <w:fldChar w:fldCharType="begin"/>
      </w:r>
      <w:r w:rsidR="000133D2">
        <w:instrText xml:space="preserve"> SEQ Table \* ARABIC </w:instrText>
      </w:r>
      <w:r w:rsidR="000133D2">
        <w:fldChar w:fldCharType="separate"/>
      </w:r>
      <w:r w:rsidR="002A3512">
        <w:rPr>
          <w:noProof/>
        </w:rPr>
        <w:t>1</w:t>
      </w:r>
      <w:r w:rsidR="000133D2">
        <w:rPr>
          <w:noProof/>
        </w:rPr>
        <w:fldChar w:fldCharType="end"/>
      </w:r>
      <w:r w:rsidR="002B6D76">
        <w:rPr>
          <w:noProof/>
        </w:rPr>
        <w:t>.</w:t>
      </w:r>
      <w:r>
        <w:t xml:space="preserve"> </w:t>
      </w:r>
      <w:r w:rsidR="009823EB">
        <w:t>Main system parameters for</w:t>
      </w:r>
      <w:r>
        <w:rPr>
          <w:rFonts w:hint="eastAsia"/>
          <w:lang w:eastAsia="ko-KR"/>
        </w:rPr>
        <w:t xml:space="preserve"> Link Configuration ID (LCID)</w:t>
      </w:r>
    </w:p>
    <w:p w:rsidR="00E45675" w:rsidRPr="00E45675" w:rsidRDefault="00E45675" w:rsidP="00E45675">
      <w:pPr>
        <w:rPr>
          <w:sz w:val="12"/>
          <w:lang w:eastAsia="ko-KR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1269"/>
        <w:gridCol w:w="1534"/>
        <w:gridCol w:w="1109"/>
        <w:gridCol w:w="1377"/>
        <w:gridCol w:w="1232"/>
        <w:gridCol w:w="992"/>
      </w:tblGrid>
      <w:tr w:rsidR="00E438D0" w:rsidRPr="002B6D76" w:rsidTr="002B6D76">
        <w:trPr>
          <w:trHeight w:val="618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LCID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Modulation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Typ</w:t>
            </w:r>
            <w:r w:rsidR="009823EB" w:rsidRPr="002B6D76">
              <w:rPr>
                <w:rFonts w:hint="eastAsia"/>
                <w:sz w:val="20"/>
                <w:szCs w:val="20"/>
              </w:rPr>
              <w:t>e</w:t>
            </w:r>
          </w:p>
        </w:tc>
        <w:tc>
          <w:tcPr>
            <w:tcW w:w="1534" w:type="dxa"/>
            <w:vAlign w:val="center"/>
          </w:tcPr>
          <w:p w:rsidR="00E438D0" w:rsidRPr="002B6D76" w:rsidRDefault="00AF1225" w:rsidP="00FB66C9">
            <w:pPr>
              <w:jc w:val="center"/>
              <w:rPr>
                <w:sz w:val="20"/>
                <w:szCs w:val="20"/>
              </w:rPr>
            </w:pPr>
            <w:proofErr w:type="spellStart"/>
            <w:r w:rsidRPr="002B6D76">
              <w:rPr>
                <w:rFonts w:hint="eastAsia"/>
                <w:sz w:val="20"/>
                <w:szCs w:val="20"/>
              </w:rPr>
              <w:t>Syncword</w:t>
            </w:r>
            <w:proofErr w:type="spellEnd"/>
            <w:r w:rsidRPr="002B6D76" w:rsidDel="00AF1225">
              <w:rPr>
                <w:rFonts w:hint="eastAsia"/>
                <w:sz w:val="20"/>
                <w:szCs w:val="20"/>
              </w:rPr>
              <w:t xml:space="preserve"> </w:t>
            </w:r>
            <w:r w:rsidR="00E438D0" w:rsidRPr="002B6D76">
              <w:rPr>
                <w:rFonts w:hint="eastAsia"/>
                <w:sz w:val="20"/>
                <w:szCs w:val="20"/>
              </w:rPr>
              <w:t>Symbols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LCID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Symbols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Symbol Rate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[</w:t>
            </w:r>
            <w:proofErr w:type="spellStart"/>
            <w:r w:rsidRPr="002B6D76">
              <w:rPr>
                <w:rFonts w:hint="eastAsia"/>
                <w:sz w:val="20"/>
                <w:szCs w:val="20"/>
              </w:rPr>
              <w:t>sps</w:t>
            </w:r>
            <w:proofErr w:type="spellEnd"/>
            <w:r w:rsidRPr="002B6D76">
              <w:rPr>
                <w:rFonts w:hint="eastAsia"/>
                <w:sz w:val="20"/>
                <w:szCs w:val="20"/>
              </w:rPr>
              <w:t>]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FEC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Code rate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roll-off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factor</w:t>
            </w:r>
          </w:p>
        </w:tc>
      </w:tr>
      <w:tr w:rsidR="00E438D0" w:rsidRPr="002B6D76" w:rsidTr="00FB66C9">
        <w:trPr>
          <w:trHeight w:val="416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1,2,3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PI/4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9600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proofErr w:type="spellStart"/>
            <w:r w:rsidRPr="002B6D76">
              <w:rPr>
                <w:rFonts w:hint="eastAsia"/>
                <w:sz w:val="20"/>
                <w:szCs w:val="20"/>
              </w:rPr>
              <w:t>Uncoded</w:t>
            </w:r>
            <w:proofErr w:type="spellEnd"/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0.35</w:t>
            </w:r>
          </w:p>
        </w:tc>
      </w:tr>
      <w:tr w:rsidR="00E438D0" w:rsidRPr="002B6D76" w:rsidTr="00FB66C9">
        <w:trPr>
          <w:trHeight w:val="407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5,6,7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PI/4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9600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3/4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0.35</w:t>
            </w:r>
          </w:p>
        </w:tc>
      </w:tr>
      <w:tr w:rsidR="00E438D0" w:rsidRPr="002B6D76" w:rsidTr="00FB66C9">
        <w:trPr>
          <w:trHeight w:val="413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8,9,10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PI/4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9600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1/2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0.35</w:t>
            </w:r>
          </w:p>
        </w:tc>
      </w:tr>
      <w:tr w:rsidR="00E438D0" w:rsidRPr="002B6D76" w:rsidTr="00461465">
        <w:trPr>
          <w:trHeight w:val="714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11,14,17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PI/4-QPSK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19,200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38,400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76,800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1/2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</w:t>
            </w:r>
          </w:p>
        </w:tc>
      </w:tr>
      <w:tr w:rsidR="00E438D0" w:rsidRPr="002B6D76" w:rsidTr="00E438D0"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12,15,18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8PSK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19,200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38,400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76,800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3/4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</w:t>
            </w:r>
          </w:p>
        </w:tc>
      </w:tr>
      <w:tr w:rsidR="00E438D0" w:rsidRPr="002B6D76" w:rsidTr="00FB66C9">
        <w:trPr>
          <w:trHeight w:val="679"/>
        </w:trPr>
        <w:tc>
          <w:tcPr>
            <w:tcW w:w="11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13,16,19</w:t>
            </w:r>
          </w:p>
        </w:tc>
        <w:tc>
          <w:tcPr>
            <w:tcW w:w="126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16QAM</w:t>
            </w:r>
          </w:p>
        </w:tc>
        <w:tc>
          <w:tcPr>
            <w:tcW w:w="1534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109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19,200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38,400</w:t>
            </w:r>
          </w:p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76,800</w:t>
            </w:r>
          </w:p>
        </w:tc>
        <w:tc>
          <w:tcPr>
            <w:tcW w:w="123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3/4</w:t>
            </w:r>
          </w:p>
        </w:tc>
        <w:tc>
          <w:tcPr>
            <w:tcW w:w="992" w:type="dxa"/>
            <w:vAlign w:val="center"/>
          </w:tcPr>
          <w:p w:rsidR="00E438D0" w:rsidRPr="002B6D76" w:rsidRDefault="00E438D0" w:rsidP="00FB66C9">
            <w:pPr>
              <w:jc w:val="center"/>
              <w:rPr>
                <w:sz w:val="20"/>
                <w:szCs w:val="20"/>
              </w:rPr>
            </w:pPr>
            <w:r w:rsidRPr="002B6D76">
              <w:rPr>
                <w:rFonts w:hint="eastAsia"/>
                <w:sz w:val="20"/>
                <w:szCs w:val="20"/>
              </w:rPr>
              <w:t>0.3</w:t>
            </w:r>
          </w:p>
        </w:tc>
      </w:tr>
    </w:tbl>
    <w:p w:rsidR="00E438D0" w:rsidRDefault="00E438D0" w:rsidP="00E95DAF">
      <w:pPr>
        <w:pStyle w:val="BodyText"/>
        <w:jc w:val="center"/>
        <w:rPr>
          <w:lang w:eastAsia="ko-KR"/>
        </w:rPr>
      </w:pPr>
    </w:p>
    <w:p w:rsidR="00AD0A80" w:rsidRDefault="00702C59" w:rsidP="008B1327">
      <w:pPr>
        <w:pStyle w:val="BodyText"/>
        <w:rPr>
          <w:lang w:eastAsia="ko-KR"/>
        </w:rPr>
      </w:pPr>
      <w:r>
        <w:rPr>
          <w:lang w:eastAsia="ko-KR"/>
        </w:rPr>
        <w:t xml:space="preserve">In general, </w:t>
      </w:r>
      <w:r w:rsidR="00347942">
        <w:rPr>
          <w:rFonts w:hint="eastAsia"/>
          <w:lang w:eastAsia="ko-KR"/>
        </w:rPr>
        <w:t>i</w:t>
      </w:r>
      <w:r>
        <w:rPr>
          <w:lang w:eastAsia="ko-KR"/>
        </w:rPr>
        <w:t xml:space="preserve">t is expected that </w:t>
      </w:r>
      <w:r w:rsidR="009823EB">
        <w:rPr>
          <w:lang w:eastAsia="ko-KR"/>
        </w:rPr>
        <w:t xml:space="preserve">the receiver for </w:t>
      </w:r>
      <w:r w:rsidR="00AD0A80" w:rsidRPr="00AD0A80">
        <w:rPr>
          <w:lang w:eastAsia="ko-KR"/>
        </w:rPr>
        <w:t xml:space="preserve">PSK </w:t>
      </w:r>
      <w:r w:rsidR="009823EB">
        <w:rPr>
          <w:lang w:eastAsia="ko-KR"/>
        </w:rPr>
        <w:t xml:space="preserve">or QAM can </w:t>
      </w:r>
      <w:r w:rsidR="00347942">
        <w:rPr>
          <w:rFonts w:hint="eastAsia"/>
          <w:lang w:eastAsia="ko-KR"/>
        </w:rPr>
        <w:t xml:space="preserve">accomplish </w:t>
      </w:r>
      <w:r w:rsidR="009823EB">
        <w:rPr>
          <w:lang w:eastAsia="ko-KR"/>
        </w:rPr>
        <w:t xml:space="preserve">ideal demodulation performance when </w:t>
      </w:r>
      <w:r w:rsidR="00AD0A80" w:rsidRPr="00AD0A80">
        <w:rPr>
          <w:lang w:eastAsia="ko-KR"/>
        </w:rPr>
        <w:t xml:space="preserve">demodulated </w:t>
      </w:r>
      <w:r w:rsidR="009823EB">
        <w:rPr>
          <w:lang w:eastAsia="ko-KR"/>
        </w:rPr>
        <w:t xml:space="preserve">in </w:t>
      </w:r>
      <w:r w:rsidR="00427E19">
        <w:rPr>
          <w:lang w:eastAsia="ko-KR"/>
        </w:rPr>
        <w:t xml:space="preserve">the </w:t>
      </w:r>
      <w:r w:rsidR="009823EB">
        <w:rPr>
          <w:lang w:eastAsia="ko-KR"/>
        </w:rPr>
        <w:t xml:space="preserve">condition of achieving </w:t>
      </w:r>
      <w:r w:rsidR="00AD0A80" w:rsidRPr="00AD0A80">
        <w:rPr>
          <w:lang w:eastAsia="ko-KR"/>
        </w:rPr>
        <w:t xml:space="preserve">signal </w:t>
      </w:r>
      <w:r w:rsidR="00347942">
        <w:rPr>
          <w:rFonts w:hint="eastAsia"/>
          <w:lang w:eastAsia="ko-KR"/>
        </w:rPr>
        <w:t xml:space="preserve">amplitude </w:t>
      </w:r>
      <w:r w:rsidR="00AD0A80" w:rsidRPr="00AD0A80">
        <w:rPr>
          <w:lang w:eastAsia="ko-KR"/>
        </w:rPr>
        <w:t xml:space="preserve">stabilization, timing and frequency synchronization. </w:t>
      </w:r>
      <w:r w:rsidR="00FD16E8">
        <w:rPr>
          <w:lang w:eastAsia="ko-KR"/>
        </w:rPr>
        <w:t>In addition</w:t>
      </w:r>
      <w:r w:rsidR="00AD0A80" w:rsidRPr="00AD0A80">
        <w:rPr>
          <w:lang w:eastAsia="ko-KR"/>
        </w:rPr>
        <w:t xml:space="preserve">, synchronization algorithms </w:t>
      </w:r>
      <w:r w:rsidR="00427E19" w:rsidRPr="00AD0A80">
        <w:rPr>
          <w:lang w:eastAsia="ko-KR"/>
        </w:rPr>
        <w:t xml:space="preserve">typically for this purpose </w:t>
      </w:r>
      <w:r w:rsidR="00C61CFC">
        <w:rPr>
          <w:rFonts w:hint="eastAsia"/>
          <w:lang w:eastAsia="ko-KR"/>
        </w:rPr>
        <w:t>use some known symbols, which is known both at the transmitter and at the receiver, such as training symbols.</w:t>
      </w:r>
    </w:p>
    <w:p w:rsidR="00AD0A80" w:rsidRDefault="00AD0A80" w:rsidP="009E4333">
      <w:pPr>
        <w:pStyle w:val="BodyText"/>
        <w:rPr>
          <w:lang w:eastAsia="ko-KR"/>
        </w:rPr>
      </w:pPr>
      <w:r w:rsidRPr="00AD0A80">
        <w:rPr>
          <w:lang w:eastAsia="ko-KR"/>
        </w:rPr>
        <w:t xml:space="preserve">The training symbol used in VDES is </w:t>
      </w:r>
      <w:r w:rsidR="00FD47CD">
        <w:rPr>
          <w:rFonts w:hint="eastAsia"/>
          <w:lang w:eastAsia="ko-KR"/>
        </w:rPr>
        <w:t xml:space="preserve">named </w:t>
      </w:r>
      <w:r w:rsidR="003B6D9B">
        <w:rPr>
          <w:lang w:eastAsia="ko-KR"/>
        </w:rPr>
        <w:t>as '</w:t>
      </w:r>
      <w:proofErr w:type="spellStart"/>
      <w:r w:rsidR="003B6D9B">
        <w:rPr>
          <w:lang w:eastAsia="ko-KR"/>
        </w:rPr>
        <w:t>Syncword</w:t>
      </w:r>
      <w:proofErr w:type="spellEnd"/>
      <w:r w:rsidR="003B6D9B">
        <w:rPr>
          <w:lang w:eastAsia="ko-KR"/>
        </w:rPr>
        <w:t>' and</w:t>
      </w:r>
      <w:r w:rsidRPr="00AD0A80">
        <w:rPr>
          <w:lang w:eastAsia="ko-KR"/>
        </w:rPr>
        <w:t xml:space="preserve"> defined as 27 symbols</w:t>
      </w:r>
      <w:r w:rsidR="003B6D9B">
        <w:rPr>
          <w:lang w:eastAsia="ko-KR"/>
        </w:rPr>
        <w:t xml:space="preserve"> in accordance with IALA G1139</w:t>
      </w:r>
      <w:r w:rsidR="00F37083">
        <w:rPr>
          <w:lang w:eastAsia="ko-KR"/>
        </w:rPr>
        <w:t xml:space="preserve"> Ed.1</w:t>
      </w:r>
      <w:r w:rsidRPr="00AD0A80">
        <w:rPr>
          <w:lang w:eastAsia="ko-KR"/>
        </w:rPr>
        <w:t xml:space="preserve">. </w:t>
      </w:r>
      <w:r w:rsidR="00E45675">
        <w:rPr>
          <w:lang w:eastAsia="ko-KR"/>
        </w:rPr>
        <w:t xml:space="preserve">The </w:t>
      </w:r>
      <w:proofErr w:type="spellStart"/>
      <w:r w:rsidR="00E45675">
        <w:rPr>
          <w:lang w:eastAsia="ko-KR"/>
        </w:rPr>
        <w:t>S</w:t>
      </w:r>
      <w:r w:rsidRPr="00AD0A80">
        <w:rPr>
          <w:lang w:eastAsia="ko-KR"/>
        </w:rPr>
        <w:t>yncword</w:t>
      </w:r>
      <w:proofErr w:type="spellEnd"/>
      <w:r w:rsidRPr="00AD0A80">
        <w:rPr>
          <w:lang w:eastAsia="ko-KR"/>
        </w:rPr>
        <w:t xml:space="preserve"> </w:t>
      </w:r>
      <w:r w:rsidR="00AD7753">
        <w:rPr>
          <w:lang w:eastAsia="ko-KR"/>
        </w:rPr>
        <w:t>is</w:t>
      </w:r>
      <w:r w:rsidRPr="00AD0A80">
        <w:rPr>
          <w:lang w:eastAsia="ko-KR"/>
        </w:rPr>
        <w:t xml:space="preserve"> generated by</w:t>
      </w:r>
      <w:r w:rsidR="00B55141">
        <w:rPr>
          <w:rFonts w:hint="eastAsia"/>
          <w:lang w:eastAsia="ko-KR"/>
        </w:rPr>
        <w:t xml:space="preserve"> </w:t>
      </w:r>
      <w:r w:rsidR="00702C59">
        <w:rPr>
          <w:lang w:val="en-US" w:eastAsia="ko-KR"/>
        </w:rPr>
        <w:t>π</w:t>
      </w:r>
      <w:r w:rsidR="00B55141">
        <w:rPr>
          <w:lang w:eastAsia="ko-KR"/>
        </w:rPr>
        <w:t>/4-QPSK modulation</w:t>
      </w:r>
      <w:r w:rsidR="00AD7753">
        <w:rPr>
          <w:rFonts w:hint="eastAsia"/>
          <w:lang w:eastAsia="ko-KR"/>
        </w:rPr>
        <w:t xml:space="preserve"> </w:t>
      </w:r>
      <w:r w:rsidR="00A434BD" w:rsidRPr="00A434BD">
        <w:rPr>
          <w:lang w:eastAsia="ko-KR"/>
        </w:rPr>
        <w:t xml:space="preserve">with repetition of </w:t>
      </w:r>
      <w:proofErr w:type="spellStart"/>
      <w:r w:rsidR="00A434BD" w:rsidRPr="00A434BD">
        <w:rPr>
          <w:lang w:eastAsia="ko-KR"/>
        </w:rPr>
        <w:t>Syncword</w:t>
      </w:r>
      <w:proofErr w:type="spellEnd"/>
      <w:r w:rsidR="00A434BD" w:rsidRPr="00A434BD">
        <w:rPr>
          <w:lang w:eastAsia="ko-KR"/>
        </w:rPr>
        <w:t xml:space="preserve"> sequences as defined in the following table </w:t>
      </w:r>
      <w:proofErr w:type="gramStart"/>
      <w:r w:rsidR="00A434BD" w:rsidRPr="00A434BD">
        <w:rPr>
          <w:lang w:eastAsia="ko-KR"/>
        </w:rPr>
        <w:t>2</w:t>
      </w:r>
      <w:r w:rsidR="00E45675">
        <w:rPr>
          <w:lang w:eastAsia="ko-KR"/>
        </w:rPr>
        <w:t>,</w:t>
      </w:r>
      <w:r w:rsidR="000133D2">
        <w:rPr>
          <w:lang w:eastAsia="ko-KR"/>
        </w:rPr>
        <w:t xml:space="preserve"> </w:t>
      </w:r>
      <w:r w:rsidR="00FD47CD">
        <w:rPr>
          <w:rFonts w:hint="eastAsia"/>
          <w:lang w:eastAsia="ko-KR"/>
        </w:rPr>
        <w:t>that</w:t>
      </w:r>
      <w:proofErr w:type="gramEnd"/>
      <w:r w:rsidR="00FD47CD">
        <w:rPr>
          <w:rFonts w:hint="eastAsia"/>
          <w:lang w:eastAsia="ko-KR"/>
        </w:rPr>
        <w:t xml:space="preserve"> </w:t>
      </w:r>
      <w:r w:rsidR="008D4CFD">
        <w:rPr>
          <w:lang w:eastAsia="ko-KR"/>
        </w:rPr>
        <w:t>arranged making use of two kinds of barker code sequences</w:t>
      </w:r>
      <w:r w:rsidRPr="00AD0A80">
        <w:rPr>
          <w:lang w:eastAsia="ko-KR"/>
        </w:rPr>
        <w:t>.</w:t>
      </w:r>
    </w:p>
    <w:p w:rsidR="00AD0A80" w:rsidRPr="00E45675" w:rsidRDefault="00AD0A80" w:rsidP="009E4333">
      <w:pPr>
        <w:pStyle w:val="BodyText"/>
        <w:rPr>
          <w:lang w:eastAsia="ko-KR"/>
        </w:rPr>
      </w:pPr>
    </w:p>
    <w:p w:rsidR="00E95DAF" w:rsidRDefault="00E95DAF" w:rsidP="00E95DAF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0133D2">
        <w:fldChar w:fldCharType="begin"/>
      </w:r>
      <w:r w:rsidR="000133D2">
        <w:instrText xml:space="preserve"> SEQ Table \* ARABIC </w:instrText>
      </w:r>
      <w:r w:rsidR="000133D2">
        <w:fldChar w:fldCharType="separate"/>
      </w:r>
      <w:r w:rsidR="002A3512">
        <w:rPr>
          <w:noProof/>
        </w:rPr>
        <w:t>2</w:t>
      </w:r>
      <w:r w:rsidR="000133D2">
        <w:rPr>
          <w:noProof/>
        </w:rPr>
        <w:fldChar w:fldCharType="end"/>
      </w:r>
      <w:r w:rsidR="002B6D76">
        <w:rPr>
          <w:noProof/>
        </w:rPr>
        <w:t>.</w:t>
      </w:r>
      <w:r>
        <w:t xml:space="preserve"> </w:t>
      </w:r>
      <w:proofErr w:type="spellStart"/>
      <w:r>
        <w:rPr>
          <w:rFonts w:hint="eastAsia"/>
          <w:lang w:eastAsia="ko-KR"/>
        </w:rPr>
        <w:t>Syncword</w:t>
      </w:r>
      <w:proofErr w:type="spellEnd"/>
      <w:r>
        <w:rPr>
          <w:rFonts w:hint="eastAsia"/>
          <w:lang w:eastAsia="ko-KR"/>
        </w:rPr>
        <w:t xml:space="preserve"> </w:t>
      </w:r>
      <w:r w:rsidR="00245BDF">
        <w:rPr>
          <w:rFonts w:hint="eastAsia"/>
          <w:lang w:eastAsia="ko-KR"/>
        </w:rPr>
        <w:t>Sequences for VDES</w:t>
      </w:r>
    </w:p>
    <w:p w:rsidR="00E45675" w:rsidRPr="00E45675" w:rsidRDefault="00E45675" w:rsidP="00E45675">
      <w:pPr>
        <w:rPr>
          <w:sz w:val="12"/>
          <w:lang w:eastAsia="ko-KR"/>
        </w:rPr>
      </w:pPr>
    </w:p>
    <w:tbl>
      <w:tblPr>
        <w:tblStyle w:val="TableGrid"/>
        <w:tblW w:w="9384" w:type="dxa"/>
        <w:jc w:val="center"/>
        <w:tblLook w:val="04A0" w:firstRow="1" w:lastRow="0" w:firstColumn="1" w:lastColumn="0" w:noHBand="0" w:noVBand="1"/>
      </w:tblPr>
      <w:tblGrid>
        <w:gridCol w:w="1588"/>
        <w:gridCol w:w="1526"/>
        <w:gridCol w:w="3827"/>
        <w:gridCol w:w="2443"/>
      </w:tblGrid>
      <w:tr w:rsidR="00E438D0" w:rsidTr="00FB66C9">
        <w:trPr>
          <w:trHeight w:val="501"/>
          <w:jc w:val="center"/>
        </w:trPr>
        <w:tc>
          <w:tcPr>
            <w:tcW w:w="1588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rFonts w:hint="eastAsia"/>
                <w:sz w:val="20"/>
              </w:rPr>
              <w:t>Usage</w:t>
            </w:r>
          </w:p>
        </w:tc>
        <w:tc>
          <w:tcPr>
            <w:tcW w:w="1526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rFonts w:hint="eastAsia"/>
                <w:sz w:val="20"/>
              </w:rPr>
              <w:t>Symbol Size</w:t>
            </w:r>
          </w:p>
        </w:tc>
        <w:tc>
          <w:tcPr>
            <w:tcW w:w="3827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rFonts w:hint="eastAsia"/>
                <w:sz w:val="20"/>
              </w:rPr>
              <w:t>Sequence</w:t>
            </w:r>
          </w:p>
        </w:tc>
        <w:tc>
          <w:tcPr>
            <w:tcW w:w="2443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rFonts w:hint="eastAsia"/>
                <w:sz w:val="20"/>
              </w:rPr>
              <w:t>Type</w:t>
            </w:r>
          </w:p>
        </w:tc>
      </w:tr>
      <w:tr w:rsidR="00E438D0" w:rsidTr="00FB66C9">
        <w:trPr>
          <w:trHeight w:val="552"/>
          <w:jc w:val="center"/>
        </w:trPr>
        <w:tc>
          <w:tcPr>
            <w:tcW w:w="1588" w:type="dxa"/>
          </w:tcPr>
          <w:p w:rsidR="00FB66C9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sz w:val="20"/>
              </w:rPr>
              <w:t>ASM</w:t>
            </w:r>
            <w:r w:rsidR="00E45675" w:rsidRPr="002B6D76">
              <w:rPr>
                <w:sz w:val="20"/>
              </w:rPr>
              <w:t xml:space="preserve"> </w:t>
            </w:r>
            <w:r w:rsidRPr="002B6D76">
              <w:rPr>
                <w:sz w:val="20"/>
              </w:rPr>
              <w:t>/</w:t>
            </w:r>
            <w:r w:rsidR="00E45675" w:rsidRPr="002B6D76">
              <w:rPr>
                <w:sz w:val="20"/>
              </w:rPr>
              <w:t xml:space="preserve"> </w:t>
            </w:r>
          </w:p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sz w:val="20"/>
              </w:rPr>
              <w:t>VDE</w:t>
            </w:r>
            <w:r w:rsidR="00E45675" w:rsidRPr="002B6D76">
              <w:rPr>
                <w:sz w:val="20"/>
              </w:rPr>
              <w:t>-</w:t>
            </w:r>
            <w:r w:rsidRPr="002B6D76">
              <w:rPr>
                <w:sz w:val="20"/>
              </w:rPr>
              <w:t>TER</w:t>
            </w:r>
          </w:p>
        </w:tc>
        <w:tc>
          <w:tcPr>
            <w:tcW w:w="1526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rFonts w:hint="eastAsia"/>
                <w:sz w:val="20"/>
              </w:rPr>
              <w:t>27</w:t>
            </w:r>
          </w:p>
        </w:tc>
        <w:tc>
          <w:tcPr>
            <w:tcW w:w="3827" w:type="dxa"/>
          </w:tcPr>
          <w:p w:rsidR="00E438D0" w:rsidRPr="002B6D76" w:rsidRDefault="00E438D0" w:rsidP="00FB66C9">
            <w:pPr>
              <w:jc w:val="center"/>
              <w:rPr>
                <w:sz w:val="20"/>
              </w:rPr>
            </w:pPr>
            <w:r w:rsidRPr="002B6D76">
              <w:rPr>
                <w:sz w:val="20"/>
              </w:rPr>
              <w:t>1 1111100110101 0000011001010</w:t>
            </w:r>
          </w:p>
        </w:tc>
        <w:tc>
          <w:tcPr>
            <w:tcW w:w="2443" w:type="dxa"/>
          </w:tcPr>
          <w:p w:rsidR="002B6D76" w:rsidRDefault="00E438D0" w:rsidP="002B6D76">
            <w:pPr>
              <w:jc w:val="center"/>
              <w:rPr>
                <w:sz w:val="20"/>
              </w:rPr>
            </w:pPr>
            <w:r w:rsidRPr="002B6D76">
              <w:rPr>
                <w:sz w:val="20"/>
              </w:rPr>
              <w:t>1</w:t>
            </w:r>
            <w:r w:rsidR="002B6D76">
              <w:rPr>
                <w:sz w:val="20"/>
              </w:rPr>
              <w:t xml:space="preserve"> </w:t>
            </w:r>
            <w:r w:rsidRPr="002B6D76">
              <w:rPr>
                <w:sz w:val="20"/>
              </w:rPr>
              <w:t>+ Barker13</w:t>
            </w:r>
            <w:r w:rsidR="002B6D76">
              <w:rPr>
                <w:sz w:val="20"/>
              </w:rPr>
              <w:t xml:space="preserve"> </w:t>
            </w:r>
            <w:r w:rsidRPr="002B6D76">
              <w:rPr>
                <w:sz w:val="20"/>
              </w:rPr>
              <w:t>+</w:t>
            </w:r>
            <w:r w:rsidR="002B6D76">
              <w:rPr>
                <w:sz w:val="20"/>
              </w:rPr>
              <w:t xml:space="preserve"> </w:t>
            </w:r>
          </w:p>
          <w:p w:rsidR="00E438D0" w:rsidRPr="002B6D76" w:rsidRDefault="00E438D0" w:rsidP="002B6D76">
            <w:pPr>
              <w:jc w:val="center"/>
              <w:rPr>
                <w:sz w:val="20"/>
              </w:rPr>
            </w:pPr>
            <w:r w:rsidRPr="002B6D76">
              <w:rPr>
                <w:sz w:val="20"/>
              </w:rPr>
              <w:t>inverted Barker13</w:t>
            </w:r>
          </w:p>
        </w:tc>
      </w:tr>
    </w:tbl>
    <w:p w:rsidR="00431FC1" w:rsidRDefault="00431FC1" w:rsidP="008B1327">
      <w:pPr>
        <w:pStyle w:val="BodyText"/>
        <w:rPr>
          <w:lang w:eastAsia="ko-KR"/>
        </w:rPr>
      </w:pPr>
    </w:p>
    <w:p w:rsidR="00461465" w:rsidRDefault="00461465" w:rsidP="008B1327">
      <w:pPr>
        <w:pStyle w:val="BodyText"/>
        <w:rPr>
          <w:lang w:eastAsia="ko-KR"/>
        </w:rPr>
      </w:pPr>
    </w:p>
    <w:p w:rsidR="008B1327" w:rsidRDefault="008B1327" w:rsidP="008B1327">
      <w:pPr>
        <w:pStyle w:val="Heading1"/>
        <w:numPr>
          <w:ilvl w:val="0"/>
          <w:numId w:val="14"/>
        </w:numPr>
        <w:jc w:val="both"/>
      </w:pPr>
      <w:r>
        <w:rPr>
          <w:rFonts w:hint="eastAsia"/>
          <w:lang w:eastAsia="ko-KR"/>
        </w:rPr>
        <w:t>BER Performance Analysis on the method to treat Carrier Frequency Offset</w:t>
      </w:r>
    </w:p>
    <w:p w:rsidR="008B1327" w:rsidRPr="00605E43" w:rsidRDefault="008B1327" w:rsidP="008B1327">
      <w:pPr>
        <w:pStyle w:val="Heading2"/>
        <w:numPr>
          <w:ilvl w:val="1"/>
          <w:numId w:val="14"/>
        </w:numPr>
        <w:jc w:val="both"/>
      </w:pPr>
      <w:r>
        <w:rPr>
          <w:rFonts w:hint="eastAsia"/>
          <w:lang w:eastAsia="ko-KR"/>
        </w:rPr>
        <w:t>BER Performance on General Carrier Recovery Algorithm with IALA Guideline G1139</w:t>
      </w:r>
    </w:p>
    <w:p w:rsidR="00AD0A80" w:rsidRDefault="00283884" w:rsidP="008B1327">
      <w:pPr>
        <w:pStyle w:val="BodyText"/>
        <w:rPr>
          <w:lang w:eastAsia="ko-KR"/>
        </w:rPr>
      </w:pPr>
      <w:r>
        <w:rPr>
          <w:lang w:eastAsia="ko-KR"/>
        </w:rPr>
        <w:t>VDES uses</w:t>
      </w:r>
      <w:r w:rsidR="00AD0A80" w:rsidRPr="00AD0A80">
        <w:rPr>
          <w:lang w:eastAsia="ko-KR"/>
        </w:rPr>
        <w:t xml:space="preserve"> </w:t>
      </w:r>
      <w:r w:rsidR="008D4CFD">
        <w:rPr>
          <w:lang w:eastAsia="ko-KR"/>
        </w:rPr>
        <w:t>π</w:t>
      </w:r>
      <w:r w:rsidR="00AD0A80" w:rsidRPr="00AD0A80">
        <w:rPr>
          <w:lang w:eastAsia="ko-KR"/>
        </w:rPr>
        <w:t xml:space="preserve">/4-QPSK, 8PSK and 16-QAM modulation </w:t>
      </w:r>
      <w:r w:rsidR="008D4CFD">
        <w:rPr>
          <w:lang w:eastAsia="ko-KR"/>
        </w:rPr>
        <w:t xml:space="preserve">methods </w:t>
      </w:r>
      <w:r w:rsidR="00AD0A80" w:rsidRPr="00AD0A80">
        <w:rPr>
          <w:lang w:eastAsia="ko-KR"/>
        </w:rPr>
        <w:t>according to the IALA G1139</w:t>
      </w:r>
      <w:r w:rsidR="008D4CFD">
        <w:rPr>
          <w:lang w:eastAsia="ko-KR"/>
        </w:rPr>
        <w:t xml:space="preserve"> Ed.1</w:t>
      </w:r>
      <w:r w:rsidR="00567C82">
        <w:rPr>
          <w:lang w:eastAsia="ko-KR"/>
        </w:rPr>
        <w:t xml:space="preserve">, </w:t>
      </w:r>
      <w:r w:rsidR="007C5218">
        <w:rPr>
          <w:lang w:eastAsia="ko-KR"/>
        </w:rPr>
        <w:t>but t</w:t>
      </w:r>
      <w:proofErr w:type="spellStart"/>
      <w:r w:rsidR="007C5218">
        <w:rPr>
          <w:lang w:val="en-US" w:eastAsia="ko-KR"/>
        </w:rPr>
        <w:t>h</w:t>
      </w:r>
      <w:r w:rsidR="00E45675">
        <w:rPr>
          <w:lang w:val="en-US" w:eastAsia="ko-KR"/>
        </w:rPr>
        <w:t>ese</w:t>
      </w:r>
      <w:proofErr w:type="spellEnd"/>
      <w:r w:rsidR="007C5218">
        <w:rPr>
          <w:lang w:eastAsia="ko-KR"/>
        </w:rPr>
        <w:t xml:space="preserve"> kind</w:t>
      </w:r>
      <w:r w:rsidR="00E45675">
        <w:rPr>
          <w:lang w:eastAsia="ko-KR"/>
        </w:rPr>
        <w:t>s</w:t>
      </w:r>
      <w:r w:rsidR="007C5218">
        <w:rPr>
          <w:lang w:eastAsia="ko-KR"/>
        </w:rPr>
        <w:t xml:space="preserve"> of modulation </w:t>
      </w:r>
      <w:r w:rsidR="007C5218">
        <w:rPr>
          <w:lang w:val="en-US" w:eastAsia="ko-KR"/>
        </w:rPr>
        <w:t>method</w:t>
      </w:r>
      <w:r w:rsidR="00E45675">
        <w:rPr>
          <w:lang w:val="en-US" w:eastAsia="ko-KR"/>
        </w:rPr>
        <w:t>s</w:t>
      </w:r>
      <w:r w:rsidR="007C5218">
        <w:rPr>
          <w:lang w:eastAsia="ko-KR"/>
        </w:rPr>
        <w:t xml:space="preserve"> </w:t>
      </w:r>
      <w:r w:rsidR="00E45675">
        <w:rPr>
          <w:lang w:eastAsia="ko-KR"/>
        </w:rPr>
        <w:t>are</w:t>
      </w:r>
      <w:r w:rsidR="007C5218">
        <w:rPr>
          <w:lang w:eastAsia="ko-KR"/>
        </w:rPr>
        <w:t xml:space="preserve"> sensitive to frequency offsets, </w:t>
      </w:r>
      <w:r w:rsidR="003A1C04">
        <w:rPr>
          <w:lang w:eastAsia="ko-KR"/>
        </w:rPr>
        <w:t xml:space="preserve">therefore, </w:t>
      </w:r>
      <w:r w:rsidR="007C5218">
        <w:rPr>
          <w:lang w:eastAsia="ko-KR"/>
        </w:rPr>
        <w:t xml:space="preserve">it should be designed with </w:t>
      </w:r>
      <w:r w:rsidR="003A1C04">
        <w:rPr>
          <w:lang w:eastAsia="ko-KR"/>
        </w:rPr>
        <w:t>coherent receiver</w:t>
      </w:r>
      <w:r w:rsidR="007C5218">
        <w:rPr>
          <w:lang w:eastAsia="ko-KR"/>
        </w:rPr>
        <w:t xml:space="preserve"> which applying CR</w:t>
      </w:r>
      <w:r w:rsidR="000133D2">
        <w:rPr>
          <w:lang w:eastAsia="ko-KR"/>
        </w:rPr>
        <w:t xml:space="preserve"> </w:t>
      </w:r>
      <w:bookmarkStart w:id="0" w:name="_GoBack"/>
      <w:bookmarkEnd w:id="0"/>
      <w:r w:rsidR="007C5218">
        <w:rPr>
          <w:lang w:eastAsia="ko-KR"/>
        </w:rPr>
        <w:t xml:space="preserve">(Carrier Recovery) </w:t>
      </w:r>
      <w:r w:rsidR="00A434BD">
        <w:rPr>
          <w:rFonts w:hint="eastAsia"/>
          <w:lang w:eastAsia="ko-KR"/>
        </w:rPr>
        <w:t>algorithm</w:t>
      </w:r>
      <w:r w:rsidR="003A1C04">
        <w:rPr>
          <w:lang w:eastAsia="ko-KR"/>
        </w:rPr>
        <w:t xml:space="preserve"> </w:t>
      </w:r>
      <w:r w:rsidR="007C5218">
        <w:rPr>
          <w:lang w:val="en-US" w:eastAsia="ko-KR"/>
        </w:rPr>
        <w:t>for</w:t>
      </w:r>
      <w:r w:rsidR="007C5218">
        <w:rPr>
          <w:lang w:eastAsia="ko-KR"/>
        </w:rPr>
        <w:t xml:space="preserve"> the </w:t>
      </w:r>
      <w:r w:rsidR="003A1C04">
        <w:rPr>
          <w:lang w:eastAsia="ko-KR"/>
        </w:rPr>
        <w:t>estimation and compensation of frequency offsets</w:t>
      </w:r>
      <w:r>
        <w:rPr>
          <w:lang w:eastAsia="ko-KR"/>
        </w:rPr>
        <w:t>.</w:t>
      </w:r>
    </w:p>
    <w:p w:rsidR="00794A72" w:rsidRPr="00020C80" w:rsidRDefault="00057EC9" w:rsidP="008B1327">
      <w:pPr>
        <w:pStyle w:val="BodyText"/>
        <w:rPr>
          <w:lang w:eastAsia="ko-KR"/>
        </w:rPr>
      </w:pPr>
      <w:r w:rsidRPr="00020C80">
        <w:rPr>
          <w:lang w:eastAsia="ko-KR"/>
        </w:rPr>
        <w:t xml:space="preserve">The operational goal </w:t>
      </w:r>
      <w:r w:rsidR="00E45675">
        <w:rPr>
          <w:lang w:eastAsia="ko-KR"/>
        </w:rPr>
        <w:t xml:space="preserve">defined </w:t>
      </w:r>
      <w:r w:rsidRPr="00020C80">
        <w:rPr>
          <w:lang w:eastAsia="ko-KR"/>
        </w:rPr>
        <w:t>in IALA</w:t>
      </w:r>
      <w:r w:rsidR="008A70D0" w:rsidRPr="00020C80">
        <w:rPr>
          <w:lang w:eastAsia="ko-KR"/>
        </w:rPr>
        <w:t xml:space="preserve"> G1139 </w:t>
      </w:r>
      <w:r w:rsidRPr="00020C80">
        <w:rPr>
          <w:lang w:eastAsia="ko-KR"/>
        </w:rPr>
        <w:t xml:space="preserve">Ed.1 is </w:t>
      </w:r>
      <w:r w:rsidR="00E45675">
        <w:rPr>
          <w:lang w:eastAsia="ko-KR"/>
        </w:rPr>
        <w:t xml:space="preserve">the </w:t>
      </w:r>
      <w:r w:rsidR="008A70D0" w:rsidRPr="00020C80">
        <w:rPr>
          <w:lang w:eastAsia="ko-KR"/>
        </w:rPr>
        <w:t xml:space="preserve">maximum </w:t>
      </w:r>
      <w:r w:rsidR="00AD0A80" w:rsidRPr="00020C80">
        <w:rPr>
          <w:lang w:eastAsia="ko-KR"/>
        </w:rPr>
        <w:t xml:space="preserve">frequency offset of 500 Hz. </w:t>
      </w:r>
      <w:r w:rsidR="00794A72" w:rsidRPr="00020C80">
        <w:rPr>
          <w:lang w:eastAsia="ko-KR"/>
        </w:rPr>
        <w:t xml:space="preserve">In addition, </w:t>
      </w:r>
      <w:proofErr w:type="spellStart"/>
      <w:r w:rsidR="00794A72" w:rsidRPr="00020C80">
        <w:rPr>
          <w:lang w:eastAsia="ko-KR"/>
        </w:rPr>
        <w:t>Syncword</w:t>
      </w:r>
      <w:proofErr w:type="spellEnd"/>
      <w:r w:rsidR="00794A72" w:rsidRPr="00020C80">
        <w:rPr>
          <w:lang w:eastAsia="ko-KR"/>
        </w:rPr>
        <w:t xml:space="preserve"> 27 symbol</w:t>
      </w:r>
      <w:r w:rsidR="002B6D76">
        <w:rPr>
          <w:lang w:eastAsia="ko-KR"/>
        </w:rPr>
        <w:t>s</w:t>
      </w:r>
      <w:r w:rsidR="00794A72" w:rsidRPr="00020C80">
        <w:rPr>
          <w:lang w:eastAsia="ko-KR"/>
        </w:rPr>
        <w:t xml:space="preserve"> </w:t>
      </w:r>
      <w:r w:rsidR="002B6D76">
        <w:rPr>
          <w:lang w:eastAsia="ko-KR"/>
        </w:rPr>
        <w:t>are</w:t>
      </w:r>
      <w:r w:rsidR="00794A72" w:rsidRPr="00020C80">
        <w:rPr>
          <w:lang w:eastAsia="ko-KR"/>
        </w:rPr>
        <w:t xml:space="preserve"> defined as the </w:t>
      </w:r>
      <w:r w:rsidR="00794A72" w:rsidRPr="00702FD9">
        <w:rPr>
          <w:lang w:eastAsia="ko-KR"/>
        </w:rPr>
        <w:t>t</w:t>
      </w:r>
      <w:r w:rsidR="00794A72" w:rsidRPr="00020C80">
        <w:rPr>
          <w:lang w:eastAsia="ko-KR"/>
        </w:rPr>
        <w:t>raining symbol</w:t>
      </w:r>
      <w:r w:rsidR="00794A72" w:rsidRPr="00702FD9">
        <w:rPr>
          <w:lang w:eastAsia="ko-KR"/>
        </w:rPr>
        <w:t>s</w:t>
      </w:r>
      <w:r w:rsidR="00794A72" w:rsidRPr="00020C80">
        <w:rPr>
          <w:lang w:eastAsia="ko-KR"/>
        </w:rPr>
        <w:t xml:space="preserve"> for performing CR function.</w:t>
      </w:r>
    </w:p>
    <w:p w:rsidR="00AD0A80" w:rsidRDefault="008910A4" w:rsidP="008B1327">
      <w:pPr>
        <w:pStyle w:val="BodyText"/>
        <w:rPr>
          <w:lang w:eastAsia="ko-KR"/>
        </w:rPr>
      </w:pPr>
      <w:r>
        <w:rPr>
          <w:lang w:eastAsia="ko-KR"/>
        </w:rPr>
        <w:t>Since</w:t>
      </w:r>
      <w:r w:rsidR="00797225">
        <w:rPr>
          <w:lang w:eastAsia="ko-KR"/>
        </w:rPr>
        <w:t xml:space="preserve"> the </w:t>
      </w:r>
      <w:r w:rsidR="00AD0A80" w:rsidRPr="00AD0A80">
        <w:rPr>
          <w:lang w:eastAsia="ko-KR"/>
        </w:rPr>
        <w:t>frequency offset</w:t>
      </w:r>
      <w:r w:rsidR="00797225">
        <w:rPr>
          <w:lang w:eastAsia="ko-KR"/>
        </w:rPr>
        <w:t xml:space="preserve"> of 500 Hz is</w:t>
      </w:r>
      <w:r w:rsidR="00AD0A80" w:rsidRPr="00AD0A80">
        <w:rPr>
          <w:lang w:eastAsia="ko-KR"/>
        </w:rPr>
        <w:t xml:space="preserve"> </w:t>
      </w:r>
      <w:r>
        <w:rPr>
          <w:lang w:eastAsia="ko-KR"/>
        </w:rPr>
        <w:t>the</w:t>
      </w:r>
      <w:r w:rsidR="00797225">
        <w:rPr>
          <w:lang w:eastAsia="ko-KR"/>
        </w:rPr>
        <w:t xml:space="preserve"> </w:t>
      </w:r>
      <w:r w:rsidR="00AD0A80" w:rsidRPr="00AD0A80">
        <w:rPr>
          <w:lang w:eastAsia="ko-KR"/>
        </w:rPr>
        <w:t xml:space="preserve">large value corresponding to 5.21% (ASM) </w:t>
      </w:r>
      <w:r w:rsidR="00797225">
        <w:rPr>
          <w:lang w:val="en-US" w:eastAsia="ko-KR"/>
        </w:rPr>
        <w:t>in comparison with</w:t>
      </w:r>
      <w:r w:rsidR="00797225">
        <w:rPr>
          <w:lang w:eastAsia="ko-KR"/>
        </w:rPr>
        <w:t xml:space="preserve"> </w:t>
      </w:r>
      <w:r w:rsidR="00AD0A80" w:rsidRPr="00AD0A80">
        <w:rPr>
          <w:lang w:eastAsia="ko-KR"/>
        </w:rPr>
        <w:t>the symbol rate, it is not easy to per</w:t>
      </w:r>
      <w:r>
        <w:rPr>
          <w:lang w:eastAsia="ko-KR"/>
        </w:rPr>
        <w:t xml:space="preserve">form the CR function using the </w:t>
      </w:r>
      <w:proofErr w:type="spellStart"/>
      <w:r>
        <w:rPr>
          <w:lang w:eastAsia="ko-KR"/>
        </w:rPr>
        <w:t>S</w:t>
      </w:r>
      <w:r w:rsidR="00AD0A80" w:rsidRPr="00AD0A80">
        <w:rPr>
          <w:lang w:eastAsia="ko-KR"/>
        </w:rPr>
        <w:t>yncword</w:t>
      </w:r>
      <w:proofErr w:type="spellEnd"/>
      <w:r>
        <w:rPr>
          <w:lang w:eastAsia="ko-KR"/>
        </w:rPr>
        <w:t xml:space="preserve"> </w:t>
      </w:r>
      <w:r w:rsidR="00797225">
        <w:rPr>
          <w:lang w:eastAsia="ko-KR"/>
        </w:rPr>
        <w:t>of</w:t>
      </w:r>
      <w:r w:rsidR="00AD0A80" w:rsidRPr="00AD0A80">
        <w:rPr>
          <w:lang w:eastAsia="ko-KR"/>
        </w:rPr>
        <w:t xml:space="preserve"> 27 symbol</w:t>
      </w:r>
      <w:r w:rsidR="00797225">
        <w:rPr>
          <w:lang w:eastAsia="ko-KR"/>
        </w:rPr>
        <w:t>s</w:t>
      </w:r>
      <w:r w:rsidR="00AD0A80" w:rsidRPr="00AD0A80">
        <w:rPr>
          <w:lang w:eastAsia="ko-KR"/>
        </w:rPr>
        <w:t xml:space="preserve">. </w:t>
      </w:r>
      <w:r w:rsidR="005633CF">
        <w:rPr>
          <w:lang w:eastAsia="ko-KR"/>
        </w:rPr>
        <w:t xml:space="preserve">Generally, CR </w:t>
      </w:r>
      <w:r w:rsidR="00057EC9">
        <w:rPr>
          <w:lang w:eastAsia="ko-KR"/>
        </w:rPr>
        <w:t xml:space="preserve">is composed of </w:t>
      </w:r>
      <w:r w:rsidR="005633CF">
        <w:rPr>
          <w:lang w:val="en-US" w:eastAsia="ko-KR"/>
        </w:rPr>
        <w:t xml:space="preserve">the </w:t>
      </w:r>
      <w:r w:rsidR="00AD0A80" w:rsidRPr="00AD0A80">
        <w:rPr>
          <w:lang w:eastAsia="ko-KR"/>
        </w:rPr>
        <w:t xml:space="preserve">coarse CR </w:t>
      </w:r>
      <w:r w:rsidR="00057EC9">
        <w:rPr>
          <w:lang w:eastAsia="ko-KR"/>
        </w:rPr>
        <w:t>to</w:t>
      </w:r>
      <w:r w:rsidR="00AD0A80" w:rsidRPr="00AD0A80">
        <w:rPr>
          <w:lang w:eastAsia="ko-KR"/>
        </w:rPr>
        <w:t xml:space="preserve"> handle a wide frequency offset and a CR tracking </w:t>
      </w:r>
      <w:r w:rsidR="00057EC9">
        <w:rPr>
          <w:lang w:eastAsia="ko-KR"/>
        </w:rPr>
        <w:t>to track</w:t>
      </w:r>
      <w:r w:rsidR="00AD0A80" w:rsidRPr="00AD0A80">
        <w:rPr>
          <w:lang w:eastAsia="ko-KR"/>
        </w:rPr>
        <w:t xml:space="preserve"> a narrow range of residual frequency offset</w:t>
      </w:r>
      <w:r w:rsidR="005633CF">
        <w:rPr>
          <w:lang w:eastAsia="ko-KR"/>
        </w:rPr>
        <w:t xml:space="preserve"> as shown in Figure 1</w:t>
      </w:r>
      <w:r w:rsidR="00AD0A80" w:rsidRPr="00AD0A80">
        <w:rPr>
          <w:lang w:eastAsia="ko-KR"/>
        </w:rPr>
        <w:t>.</w:t>
      </w:r>
    </w:p>
    <w:p w:rsidR="00FB66C9" w:rsidRDefault="00FB66C9" w:rsidP="008B1327">
      <w:pPr>
        <w:pStyle w:val="BodyText"/>
        <w:rPr>
          <w:lang w:eastAsia="ko-KR"/>
        </w:rPr>
      </w:pPr>
    </w:p>
    <w:p w:rsidR="00431FC1" w:rsidRPr="00431FC1" w:rsidRDefault="00E438D0" w:rsidP="00431FC1">
      <w:pPr>
        <w:pStyle w:val="BodyText"/>
        <w:jc w:val="center"/>
        <w:rPr>
          <w:lang w:eastAsia="ko-KR"/>
        </w:rPr>
      </w:pPr>
      <w:r w:rsidRPr="00E438D0">
        <w:rPr>
          <w:noProof/>
          <w:lang w:val="nl-NL" w:eastAsia="nl-NL"/>
        </w:rPr>
        <w:lastRenderedPageBreak/>
        <w:drawing>
          <wp:inline distT="0" distB="0" distL="0" distR="0">
            <wp:extent cx="4607269" cy="1404650"/>
            <wp:effectExtent l="0" t="0" r="0" b="5080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8652" cy="14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BDF" w:rsidRPr="00245BDF" w:rsidRDefault="00245BDF" w:rsidP="00D818A7">
      <w:pPr>
        <w:pStyle w:val="Caption"/>
        <w:jc w:val="center"/>
        <w:rPr>
          <w:lang w:eastAsia="ko-KR"/>
        </w:rPr>
      </w:pPr>
      <w:r w:rsidRPr="002F73D4">
        <w:rPr>
          <w:lang w:eastAsia="ko-KR"/>
        </w:rPr>
        <w:t xml:space="preserve">Figure </w:t>
      </w:r>
      <w:r w:rsidR="00542DA4" w:rsidRPr="002F73D4">
        <w:fldChar w:fldCharType="begin"/>
      </w:r>
      <w:r w:rsidRPr="002F73D4">
        <w:rPr>
          <w:lang w:eastAsia="ko-KR"/>
        </w:rPr>
        <w:instrText xml:space="preserve"> SEQ Figure \* ARABIC </w:instrText>
      </w:r>
      <w:r w:rsidR="00542DA4" w:rsidRPr="002F73D4">
        <w:fldChar w:fldCharType="separate"/>
      </w:r>
      <w:r w:rsidR="002A3512">
        <w:rPr>
          <w:noProof/>
          <w:lang w:eastAsia="ko-KR"/>
        </w:rPr>
        <w:t>1</w:t>
      </w:r>
      <w:r w:rsidR="00542DA4" w:rsidRPr="002F73D4">
        <w:fldChar w:fldCharType="end"/>
      </w:r>
      <w:r w:rsidR="002B6D76">
        <w:t>.</w:t>
      </w:r>
      <w:r w:rsidRPr="002F73D4">
        <w:rPr>
          <w:lang w:eastAsia="ko-KR"/>
        </w:rPr>
        <w:t xml:space="preserve"> </w:t>
      </w:r>
      <w:r w:rsidR="0009639F">
        <w:rPr>
          <w:rFonts w:hint="eastAsia"/>
          <w:lang w:eastAsia="ko-KR"/>
        </w:rPr>
        <w:t>Co</w:t>
      </w:r>
      <w:r w:rsidR="003413E8">
        <w:rPr>
          <w:rFonts w:hint="eastAsia"/>
          <w:lang w:eastAsia="ko-KR"/>
        </w:rPr>
        <w:t>mponents for</w:t>
      </w:r>
      <w:r w:rsidR="0009639F">
        <w:rPr>
          <w:rFonts w:hint="eastAsia"/>
          <w:lang w:eastAsia="ko-KR"/>
        </w:rPr>
        <w:t xml:space="preserve"> Carrier Recovery Algorithm</w:t>
      </w:r>
    </w:p>
    <w:p w:rsidR="00F2419A" w:rsidRDefault="00F2419A" w:rsidP="00020808">
      <w:pPr>
        <w:pStyle w:val="BodyText"/>
        <w:rPr>
          <w:lang w:eastAsia="ko-KR"/>
        </w:rPr>
      </w:pPr>
    </w:p>
    <w:p w:rsidR="00D818A7" w:rsidRDefault="005633CF" w:rsidP="00020808">
      <w:pPr>
        <w:pStyle w:val="BodyText"/>
        <w:rPr>
          <w:lang w:eastAsia="ko-KR"/>
        </w:rPr>
      </w:pPr>
      <w:r>
        <w:rPr>
          <w:lang w:eastAsia="ko-KR"/>
        </w:rPr>
        <w:t>The below</w:t>
      </w:r>
      <w:r w:rsidR="00AD0A80" w:rsidRPr="00AD0A80">
        <w:rPr>
          <w:lang w:eastAsia="ko-KR"/>
        </w:rPr>
        <w:t xml:space="preserve"> table </w:t>
      </w:r>
      <w:r w:rsidR="005E2DD6">
        <w:rPr>
          <w:lang w:eastAsia="ko-KR"/>
        </w:rPr>
        <w:t xml:space="preserve">3 </w:t>
      </w:r>
      <w:r w:rsidR="005E2DD6">
        <w:rPr>
          <w:lang w:val="en-US" w:eastAsia="ko-KR"/>
        </w:rPr>
        <w:t>includes</w:t>
      </w:r>
      <w:r>
        <w:rPr>
          <w:lang w:eastAsia="ko-KR"/>
        </w:rPr>
        <w:t xml:space="preserve"> the analysis </w:t>
      </w:r>
      <w:r w:rsidR="009332CC">
        <w:rPr>
          <w:lang w:eastAsia="ko-KR"/>
        </w:rPr>
        <w:t>for</w:t>
      </w:r>
      <w:r>
        <w:rPr>
          <w:lang w:eastAsia="ko-KR"/>
        </w:rPr>
        <w:t xml:space="preserve"> </w:t>
      </w:r>
      <w:r w:rsidR="009332CC">
        <w:rPr>
          <w:lang w:eastAsia="ko-KR"/>
        </w:rPr>
        <w:t xml:space="preserve">the </w:t>
      </w:r>
      <w:r w:rsidR="00AD0A80" w:rsidRPr="00AD0A80">
        <w:rPr>
          <w:lang w:eastAsia="ko-KR"/>
        </w:rPr>
        <w:t xml:space="preserve">required SNR </w:t>
      </w:r>
      <w:r>
        <w:rPr>
          <w:lang w:eastAsia="ko-KR"/>
        </w:rPr>
        <w:t xml:space="preserve">in order to </w:t>
      </w:r>
      <w:r w:rsidR="00AD0A80" w:rsidRPr="00AD0A80">
        <w:rPr>
          <w:lang w:eastAsia="ko-KR"/>
        </w:rPr>
        <w:t>achiev</w:t>
      </w:r>
      <w:r>
        <w:rPr>
          <w:lang w:eastAsia="ko-KR"/>
        </w:rPr>
        <w:t>e BER of</w:t>
      </w:r>
      <w:r w:rsidR="00AD0A80" w:rsidRPr="00AD0A80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w:rPr>
                <w:rFonts w:ascii="Cambria Math" w:hAnsi="Cambria Math"/>
                <w:lang w:val="en-US" w:eastAsia="ko-KR"/>
              </w:rPr>
              <m:t>10</m:t>
            </m:r>
          </m:e>
          <m:sup>
            <m:r>
              <w:rPr>
                <w:rFonts w:ascii="Cambria Math" w:hAnsi="Cambria Math"/>
                <w:lang w:eastAsia="ko-KR"/>
              </w:rPr>
              <m:t>-6</m:t>
            </m:r>
          </m:sup>
        </m:sSup>
      </m:oMath>
      <w:r w:rsidR="00E60A2F">
        <w:rPr>
          <w:rFonts w:hint="eastAsia"/>
          <w:lang w:eastAsia="ko-KR"/>
        </w:rPr>
        <w:t xml:space="preserve"> </w:t>
      </w:r>
      <w:r w:rsidR="00AD0A80" w:rsidRPr="00AD0A80">
        <w:rPr>
          <w:lang w:eastAsia="ko-KR"/>
        </w:rPr>
        <w:t xml:space="preserve">and </w:t>
      </w:r>
      <w:r w:rsidR="005E2DD6">
        <w:rPr>
          <w:lang w:eastAsia="ko-KR"/>
        </w:rPr>
        <w:t xml:space="preserve">shows </w:t>
      </w:r>
      <w:r w:rsidR="00AD0A80" w:rsidRPr="00AD0A80">
        <w:rPr>
          <w:lang w:eastAsia="ko-KR"/>
        </w:rPr>
        <w:t>the performance under the frequency offset o</w:t>
      </w:r>
      <w:r w:rsidR="009332CC">
        <w:rPr>
          <w:lang w:eastAsia="ko-KR"/>
        </w:rPr>
        <w:t xml:space="preserve">f 500 Hz for the receiver employing the </w:t>
      </w:r>
      <w:r w:rsidR="009B78FB">
        <w:rPr>
          <w:rFonts w:hint="eastAsia"/>
          <w:lang w:eastAsia="ko-KR"/>
        </w:rPr>
        <w:t>general carrier</w:t>
      </w:r>
      <w:r w:rsidR="009B78FB" w:rsidRPr="00AD0A80">
        <w:rPr>
          <w:lang w:eastAsia="ko-KR"/>
        </w:rPr>
        <w:t xml:space="preserve"> </w:t>
      </w:r>
      <w:r w:rsidR="00AD0A80" w:rsidRPr="00AD0A80">
        <w:rPr>
          <w:lang w:eastAsia="ko-KR"/>
        </w:rPr>
        <w:t>frequency recovery a</w:t>
      </w:r>
      <w:r w:rsidR="009332CC">
        <w:rPr>
          <w:lang w:eastAsia="ko-KR"/>
        </w:rPr>
        <w:t>lgorithm in accordance with</w:t>
      </w:r>
      <w:r w:rsidR="009332CC" w:rsidRPr="00AD0A80">
        <w:rPr>
          <w:lang w:eastAsia="ko-KR"/>
        </w:rPr>
        <w:t xml:space="preserve"> </w:t>
      </w:r>
      <w:r w:rsidR="009332CC">
        <w:rPr>
          <w:lang w:eastAsia="ko-KR"/>
        </w:rPr>
        <w:t xml:space="preserve">IALA </w:t>
      </w:r>
      <w:r w:rsidR="009332CC" w:rsidRPr="00AD0A80">
        <w:rPr>
          <w:lang w:eastAsia="ko-KR"/>
        </w:rPr>
        <w:t>G1139</w:t>
      </w:r>
      <w:r w:rsidR="009332CC">
        <w:rPr>
          <w:lang w:eastAsia="ko-KR"/>
        </w:rPr>
        <w:t xml:space="preserve"> Ed.1</w:t>
      </w:r>
      <w:r w:rsidR="00AD0A80" w:rsidRPr="00AD0A80">
        <w:rPr>
          <w:lang w:eastAsia="ko-KR"/>
        </w:rPr>
        <w:t>.</w:t>
      </w:r>
    </w:p>
    <w:p w:rsidR="005664DB" w:rsidRPr="005664DB" w:rsidRDefault="005664DB" w:rsidP="00020808">
      <w:pPr>
        <w:pStyle w:val="BodyText"/>
        <w:rPr>
          <w:lang w:val="en-US" w:eastAsia="ko-KR"/>
        </w:rPr>
      </w:pPr>
    </w:p>
    <w:p w:rsidR="00020808" w:rsidRDefault="00020808" w:rsidP="00020808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0133D2">
        <w:fldChar w:fldCharType="begin"/>
      </w:r>
      <w:r w:rsidR="000133D2">
        <w:instrText xml:space="preserve"> SEQ Table \* ARABIC </w:instrText>
      </w:r>
      <w:r w:rsidR="000133D2">
        <w:fldChar w:fldCharType="separate"/>
      </w:r>
      <w:r w:rsidR="002A3512">
        <w:rPr>
          <w:noProof/>
        </w:rPr>
        <w:t>3</w:t>
      </w:r>
      <w:r w:rsidR="000133D2">
        <w:rPr>
          <w:noProof/>
        </w:rPr>
        <w:fldChar w:fldCharType="end"/>
      </w:r>
      <w:r w:rsidR="002B6D76">
        <w:rPr>
          <w:noProof/>
        </w:rPr>
        <w:t>.</w:t>
      </w:r>
      <w:r>
        <w:t xml:space="preserve"> </w:t>
      </w:r>
      <w:r>
        <w:rPr>
          <w:rFonts w:hint="eastAsia"/>
          <w:lang w:eastAsia="ko-KR"/>
        </w:rPr>
        <w:t xml:space="preserve">BER Performance with </w:t>
      </w:r>
      <w:r w:rsidR="002240C1">
        <w:rPr>
          <w:rFonts w:hint="eastAsia"/>
          <w:lang w:eastAsia="ko-KR"/>
        </w:rPr>
        <w:t xml:space="preserve">General </w:t>
      </w:r>
      <w:r>
        <w:rPr>
          <w:rFonts w:hint="eastAsia"/>
          <w:lang w:eastAsia="ko-KR"/>
        </w:rPr>
        <w:t>CR</w:t>
      </w:r>
    </w:p>
    <w:p w:rsidR="00F2419A" w:rsidRPr="00431FC1" w:rsidRDefault="00F2419A" w:rsidP="00F2419A">
      <w:pPr>
        <w:rPr>
          <w:sz w:val="12"/>
          <w:lang w:eastAsia="ko-KR"/>
        </w:rPr>
      </w:pPr>
    </w:p>
    <w:tbl>
      <w:tblPr>
        <w:tblW w:w="9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2067"/>
        <w:gridCol w:w="1984"/>
        <w:gridCol w:w="2969"/>
      </w:tblGrid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E42FFF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907F6A" w:rsidRDefault="009B78FB" w:rsidP="004C1445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with </w:t>
            </w:r>
            <w:r w:rsidR="00907F6A">
              <w:rPr>
                <w:rFonts w:hint="eastAsia"/>
                <w:lang w:eastAsia="ko-KR"/>
              </w:rPr>
              <w:t>Coherent</w:t>
            </w:r>
          </w:p>
          <w:p w:rsidR="00D16DD7" w:rsidRPr="00E42FFF" w:rsidRDefault="00E42FFF" w:rsidP="004C1445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Ideal </w:t>
            </w:r>
            <w:r w:rsidR="004C1445">
              <w:rPr>
                <w:rFonts w:hint="eastAsia"/>
                <w:lang w:eastAsia="ko-KR"/>
              </w:rPr>
              <w:t>sync.</w:t>
            </w:r>
            <w:r w:rsidRPr="00E42FFF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9B78FB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with </w:t>
            </w:r>
            <w:r w:rsidR="009332CC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General </w:t>
            </w:r>
            <w:r w:rsidR="009332CC">
              <w:rPr>
                <w:rFonts w:hint="eastAsia"/>
                <w:lang w:eastAsia="ko-KR"/>
              </w:rPr>
              <w:t>C</w:t>
            </w:r>
            <w:r w:rsidR="009332CC">
              <w:rPr>
                <w:lang w:val="en-US" w:eastAsia="ko-KR"/>
              </w:rPr>
              <w:t>R</w:t>
            </w:r>
          </w:p>
        </w:tc>
        <w:tc>
          <w:tcPr>
            <w:tcW w:w="2969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2A3512" w:rsidRDefault="005664DB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lang w:eastAsia="ko-KR"/>
              </w:rPr>
              <w:t xml:space="preserve">Performance degradation </w:t>
            </w:r>
            <w:r w:rsidR="009B78FB">
              <w:rPr>
                <w:rFonts w:hint="eastAsia"/>
                <w:lang w:eastAsia="ko-KR"/>
              </w:rPr>
              <w:t xml:space="preserve">with </w:t>
            </w:r>
            <w:r w:rsidR="00E42FFF" w:rsidRPr="00E42FFF">
              <w:rPr>
                <w:rFonts w:hint="eastAsia"/>
                <w:lang w:eastAsia="ko-KR"/>
              </w:rPr>
              <w:t>CR</w:t>
            </w:r>
            <w:r w:rsidR="009B78FB">
              <w:rPr>
                <w:rFonts w:hint="eastAsia"/>
                <w:lang w:eastAsia="ko-KR"/>
              </w:rPr>
              <w:t xml:space="preserve"> via ideal sync. </w:t>
            </w:r>
          </w:p>
          <w:p w:rsidR="00E42FFF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(</w:t>
            </w:r>
            <w:r w:rsidR="002A3512">
              <w:rPr>
                <w:lang w:eastAsia="ko-KR"/>
              </w:rPr>
              <w:t xml:space="preserve">Gap </w:t>
            </w:r>
            <w:r w:rsidR="009B78FB">
              <w:rPr>
                <w:rFonts w:hint="eastAsia"/>
                <w:lang w:eastAsia="ko-KR"/>
              </w:rPr>
              <w:t>for</w:t>
            </w:r>
            <w:r w:rsidR="009B78FB">
              <w:rPr>
                <w:lang w:eastAsia="ko-KR"/>
              </w:rPr>
              <w:t xml:space="preserve"> </w:t>
            </w:r>
            <w:r w:rsidR="005664DB">
              <w:rPr>
                <w:lang w:eastAsia="ko-KR"/>
              </w:rPr>
              <w:t xml:space="preserve">required </w:t>
            </w:r>
            <w:r w:rsidR="005664DB">
              <w:rPr>
                <w:rFonts w:hint="eastAsia"/>
                <w:lang w:eastAsia="ko-KR"/>
              </w:rPr>
              <w:t>SNR</w:t>
            </w:r>
            <w:r w:rsidRPr="00E42FFF">
              <w:rPr>
                <w:rFonts w:hint="eastAsia"/>
                <w:lang w:eastAsia="ko-KR"/>
              </w:rPr>
              <w:t>)</w:t>
            </w:r>
          </w:p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[dB]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LCID (MCS)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E42FFF" w:rsidRPr="00E42FFF" w:rsidRDefault="009332CC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Required</w:t>
            </w:r>
            <w:r w:rsidR="00E42FFF" w:rsidRPr="00E42FFF">
              <w:rPr>
                <w:rFonts w:hint="eastAsia"/>
                <w:lang w:eastAsia="ko-KR"/>
              </w:rPr>
              <w:t xml:space="preserve"> SNR[dB]</w:t>
            </w:r>
          </w:p>
          <w:p w:rsidR="00D16DD7" w:rsidRPr="00E42FFF" w:rsidRDefault="00E42FFF" w:rsidP="00E60A2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@ BER=</w:t>
            </w:r>
            <m:oMath>
              <m:sSup>
                <m:sSupPr>
                  <m:ctrlPr>
                    <w:rPr>
                      <w:rFonts w:ascii="Cambria Math" w:hAnsi="Cambria Math"/>
                      <w:lang w:eastAsia="ko-KR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ko-KR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ko-KR"/>
                    </w:rPr>
                    <m:t>-6</m:t>
                  </m:r>
                </m:sup>
              </m:sSup>
            </m:oMath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E42FFF" w:rsidRPr="00E42FFF" w:rsidRDefault="009332CC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Required</w:t>
            </w:r>
            <w:r w:rsidR="00E42FFF" w:rsidRPr="00E42FFF">
              <w:rPr>
                <w:rFonts w:hint="eastAsia"/>
                <w:lang w:eastAsia="ko-KR"/>
              </w:rPr>
              <w:t xml:space="preserve"> SNR [dB]</w:t>
            </w:r>
          </w:p>
          <w:p w:rsidR="00D16DD7" w:rsidRPr="00E42FFF" w:rsidRDefault="00E42FFF" w:rsidP="00E60A2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@ BER=</w:t>
            </w:r>
            <m:oMath>
              <m:sSup>
                <m:sSupPr>
                  <m:ctrlPr>
                    <w:rPr>
                      <w:rFonts w:ascii="Cambria Math" w:hAnsi="Cambria Math"/>
                      <w:lang w:eastAsia="ko-KR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ko-KR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ko-KR"/>
                    </w:rPr>
                    <m:t>-6</m:t>
                  </m:r>
                </m:sup>
              </m:sSup>
            </m:oMath>
          </w:p>
        </w:tc>
        <w:tc>
          <w:tcPr>
            <w:tcW w:w="2969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E42FFF" w:rsidRPr="00E42FFF" w:rsidRDefault="00E42FFF" w:rsidP="00A8113F">
            <w:pPr>
              <w:pStyle w:val="BodyText"/>
              <w:spacing w:after="0" w:line="200" w:lineRule="atLeast"/>
              <w:contextualSpacing/>
              <w:rPr>
                <w:rFonts w:ascii="Batang" w:hAnsi="Batang"/>
                <w:lang w:val="en-US" w:eastAsia="ko-KR"/>
              </w:rPr>
            </w:pP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05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6.2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10.2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4.0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06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5.6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10.4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4.8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07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5.5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4D4638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10.2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DE006B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4.7</w:t>
            </w:r>
            <w:r w:rsidR="00E42FFF" w:rsidRPr="00E42FFF">
              <w:rPr>
                <w:rFonts w:hint="eastAsia"/>
                <w:lang w:eastAsia="ko-KR"/>
              </w:rPr>
              <w:t xml:space="preserve">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08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1/2)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3.5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4D4638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10.</w:t>
            </w:r>
            <w:r w:rsidR="004D4638">
              <w:rPr>
                <w:rFonts w:hint="eastAsia"/>
                <w:lang w:eastAsia="ko-KR"/>
              </w:rPr>
              <w:t>3</w:t>
            </w:r>
            <w:r w:rsidRPr="00E42FFF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DE006B" w:rsidP="00DE006B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6</w:t>
            </w:r>
            <w:r w:rsidR="00E42FFF" w:rsidRPr="00E42FFF">
              <w:rPr>
                <w:rFonts w:hint="eastAsia"/>
                <w:lang w:eastAsia="ko-KR"/>
              </w:rPr>
              <w:t>.</w:t>
            </w:r>
            <w:r>
              <w:rPr>
                <w:rFonts w:hint="eastAsia"/>
                <w:lang w:eastAsia="ko-KR"/>
              </w:rPr>
              <w:t>8</w:t>
            </w:r>
            <w:r w:rsidR="00E42FFF" w:rsidRPr="00E42FFF">
              <w:rPr>
                <w:rFonts w:hint="eastAsia"/>
                <w:lang w:eastAsia="ko-KR"/>
              </w:rPr>
              <w:t xml:space="preserve">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09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1/2)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3.7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10.6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6.9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10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1/2)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2.3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10.8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8.5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11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3.0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11.1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8.1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14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2.3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10.8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8.5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>17 (</w:t>
            </w:r>
            <w:r w:rsidRPr="00E42FFF">
              <w:rPr>
                <w:rFonts w:hint="eastAsia"/>
                <w:lang w:eastAsia="ko-KR"/>
              </w:rPr>
              <w:t>π</w:t>
            </w:r>
            <w:r w:rsidRPr="00E42FFF">
              <w:rPr>
                <w:rFonts w:hint="eastAsia"/>
                <w:lang w:eastAsia="ko-KR"/>
              </w:rPr>
              <w:t xml:space="preserve">/4-QPSK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1.9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 9.8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8.9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12 (8PSK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9.9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6.1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15 (8PSK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9.4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6.6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18 (8PSK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9.4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6.6 </w:t>
            </w:r>
          </w:p>
        </w:tc>
      </w:tr>
      <w:tr w:rsidR="00E42FFF" w:rsidRPr="00E42FFF" w:rsidTr="00702FD9">
        <w:trPr>
          <w:trHeight w:val="20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13 (16-QAM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11.8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15.3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3.5 </w:t>
            </w:r>
          </w:p>
        </w:tc>
      </w:tr>
      <w:tr w:rsidR="00E42FFF" w:rsidRPr="00E42FFF" w:rsidTr="00702FD9">
        <w:trPr>
          <w:trHeight w:val="15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 (16-QAM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11.5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16.2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4.7 </w:t>
            </w:r>
          </w:p>
        </w:tc>
      </w:tr>
      <w:tr w:rsidR="00E42FFF" w:rsidRPr="00E42FFF" w:rsidTr="00702FD9">
        <w:trPr>
          <w:trHeight w:val="15"/>
          <w:jc w:val="center"/>
        </w:trPr>
        <w:tc>
          <w:tcPr>
            <w:tcW w:w="20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19 (16-QAM 3/4) </w:t>
            </w:r>
          </w:p>
        </w:tc>
        <w:tc>
          <w:tcPr>
            <w:tcW w:w="206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11.5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16.1 </w:t>
            </w:r>
          </w:p>
        </w:tc>
        <w:tc>
          <w:tcPr>
            <w:tcW w:w="29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D16DD7" w:rsidRPr="00E42FFF" w:rsidRDefault="00E42FFF" w:rsidP="00A8113F">
            <w:pPr>
              <w:pStyle w:val="BodyText"/>
              <w:spacing w:after="0" w:line="200" w:lineRule="atLeast"/>
              <w:contextualSpacing/>
              <w:jc w:val="center"/>
              <w:rPr>
                <w:lang w:eastAsia="ko-KR"/>
              </w:rPr>
            </w:pPr>
            <w:r w:rsidRPr="00E42FFF">
              <w:rPr>
                <w:rFonts w:hint="eastAsia"/>
                <w:lang w:eastAsia="ko-KR"/>
              </w:rPr>
              <w:t xml:space="preserve">4.6 </w:t>
            </w:r>
          </w:p>
        </w:tc>
      </w:tr>
    </w:tbl>
    <w:p w:rsidR="007974F2" w:rsidRDefault="007974F2" w:rsidP="004B767A">
      <w:pPr>
        <w:pStyle w:val="BodyText"/>
        <w:rPr>
          <w:lang w:eastAsia="ko-KR"/>
        </w:rPr>
      </w:pPr>
    </w:p>
    <w:p w:rsidR="00D44F6C" w:rsidRDefault="00AD0A80" w:rsidP="004B767A">
      <w:pPr>
        <w:pStyle w:val="BodyText"/>
        <w:rPr>
          <w:lang w:eastAsia="ko-KR"/>
        </w:rPr>
      </w:pPr>
      <w:r w:rsidRPr="00AD0A80">
        <w:rPr>
          <w:lang w:eastAsia="ko-KR"/>
        </w:rPr>
        <w:t xml:space="preserve">Simulation </w:t>
      </w:r>
      <w:r w:rsidR="005E2DD6">
        <w:rPr>
          <w:lang w:eastAsia="ko-KR"/>
        </w:rPr>
        <w:t>result</w:t>
      </w:r>
      <w:r w:rsidRPr="00AD0A80">
        <w:rPr>
          <w:lang w:eastAsia="ko-KR"/>
        </w:rPr>
        <w:t xml:space="preserve"> show</w:t>
      </w:r>
      <w:r w:rsidR="005E2DD6">
        <w:rPr>
          <w:lang w:eastAsia="ko-KR"/>
        </w:rPr>
        <w:t xml:space="preserve">s that the </w:t>
      </w:r>
      <w:r w:rsidR="00FD03A9">
        <w:rPr>
          <w:lang w:eastAsia="ko-KR"/>
        </w:rPr>
        <w:t>required SNR</w:t>
      </w:r>
      <w:r w:rsidR="00E377B2">
        <w:rPr>
          <w:lang w:val="en-US" w:eastAsia="ko-KR"/>
        </w:rPr>
        <w:t xml:space="preserve"> </w:t>
      </w:r>
      <w:r w:rsidR="000C26E3">
        <w:rPr>
          <w:lang w:val="en-US" w:eastAsia="ko-KR"/>
        </w:rPr>
        <w:t>to satisfy</w:t>
      </w:r>
      <w:r w:rsidR="00E377B2">
        <w:rPr>
          <w:lang w:val="en-US" w:eastAsia="ko-KR"/>
        </w:rPr>
        <w:t xml:space="preserve"> with </w:t>
      </w:r>
      <w:r w:rsidR="005E2DD6">
        <w:rPr>
          <w:lang w:eastAsia="ko-KR"/>
        </w:rPr>
        <w:t>BER of</w:t>
      </w:r>
      <w:r w:rsidRPr="00AD0A80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w:rPr>
                <w:rFonts w:ascii="Cambria Math" w:hAnsi="Cambria Math"/>
                <w:lang w:val="en-US" w:eastAsia="ko-KR"/>
              </w:rPr>
              <m:t>10</m:t>
            </m:r>
          </m:e>
          <m:sup>
            <m:r>
              <w:rPr>
                <w:rFonts w:ascii="Cambria Math" w:hAnsi="Cambria Math"/>
                <w:lang w:eastAsia="ko-KR"/>
              </w:rPr>
              <m:t>-6</m:t>
            </m:r>
          </m:sup>
        </m:sSup>
      </m:oMath>
      <w:r w:rsidR="004252EA">
        <w:rPr>
          <w:lang w:eastAsia="ko-KR"/>
        </w:rPr>
        <w:t xml:space="preserve"> </w:t>
      </w:r>
      <w:r w:rsidR="001A5FA1">
        <w:rPr>
          <w:lang w:eastAsia="ko-KR"/>
        </w:rPr>
        <w:t xml:space="preserve">is </w:t>
      </w:r>
      <w:r w:rsidR="001A5FA1">
        <w:rPr>
          <w:lang w:val="en-US" w:eastAsia="ko-KR"/>
        </w:rPr>
        <w:t xml:space="preserve">degraded </w:t>
      </w:r>
      <w:r w:rsidR="001A5FA1">
        <w:rPr>
          <w:lang w:eastAsia="ko-KR"/>
        </w:rPr>
        <w:t>in</w:t>
      </w:r>
      <w:r w:rsidR="004252EA">
        <w:rPr>
          <w:lang w:eastAsia="ko-KR"/>
        </w:rPr>
        <w:t xml:space="preserve"> </w:t>
      </w:r>
      <w:r w:rsidR="001A5FA1">
        <w:rPr>
          <w:lang w:eastAsia="ko-KR"/>
        </w:rPr>
        <w:t xml:space="preserve">drop of </w:t>
      </w:r>
      <w:r w:rsidR="00FD03A9" w:rsidRPr="00020808">
        <w:rPr>
          <w:rFonts w:hint="eastAsia"/>
          <w:lang w:eastAsia="ko-KR"/>
        </w:rPr>
        <w:t xml:space="preserve">3.5 </w:t>
      </w:r>
      <w:r w:rsidR="004252EA">
        <w:rPr>
          <w:lang w:eastAsia="ko-KR"/>
        </w:rPr>
        <w:t>~</w:t>
      </w:r>
      <w:r w:rsidR="00FD03A9" w:rsidRPr="00020808">
        <w:rPr>
          <w:rFonts w:hint="eastAsia"/>
          <w:lang w:eastAsia="ko-KR"/>
        </w:rPr>
        <w:t xml:space="preserve"> 8.9dB</w:t>
      </w:r>
      <w:r w:rsidR="00FD03A9">
        <w:rPr>
          <w:lang w:eastAsia="ko-KR"/>
        </w:rPr>
        <w:t xml:space="preserve"> </w:t>
      </w:r>
      <w:r w:rsidR="00E377B2">
        <w:rPr>
          <w:lang w:val="en-US" w:eastAsia="ko-KR"/>
        </w:rPr>
        <w:t xml:space="preserve">in comparison with </w:t>
      </w:r>
      <w:r w:rsidRPr="00AD0A80">
        <w:rPr>
          <w:lang w:eastAsia="ko-KR"/>
        </w:rPr>
        <w:t>coherent ideal sync</w:t>
      </w:r>
      <w:r w:rsidR="004252EA">
        <w:rPr>
          <w:lang w:eastAsia="ko-KR"/>
        </w:rPr>
        <w:t>hronisation</w:t>
      </w:r>
      <w:r w:rsidRPr="00AD0A80">
        <w:rPr>
          <w:lang w:eastAsia="ko-KR"/>
        </w:rPr>
        <w:t xml:space="preserve"> when using a </w:t>
      </w:r>
      <w:r w:rsidR="009B78FB">
        <w:rPr>
          <w:rFonts w:hint="eastAsia"/>
          <w:lang w:eastAsia="ko-KR"/>
        </w:rPr>
        <w:t>general carrier</w:t>
      </w:r>
      <w:r w:rsidR="009B78FB" w:rsidRPr="00AD0A80">
        <w:rPr>
          <w:lang w:eastAsia="ko-KR"/>
        </w:rPr>
        <w:t xml:space="preserve"> </w:t>
      </w:r>
      <w:r w:rsidRPr="00AD0A80">
        <w:rPr>
          <w:lang w:eastAsia="ko-KR"/>
        </w:rPr>
        <w:t xml:space="preserve">frequency recovery algorithm. It is </w:t>
      </w:r>
      <w:r w:rsidR="001A5FA1">
        <w:rPr>
          <w:lang w:val="en-US" w:eastAsia="ko-KR"/>
        </w:rPr>
        <w:t xml:space="preserve">considered </w:t>
      </w:r>
      <w:r w:rsidRPr="00AD0A80">
        <w:rPr>
          <w:lang w:eastAsia="ko-KR"/>
        </w:rPr>
        <w:t>difficult</w:t>
      </w:r>
      <w:r w:rsidR="001A5FA1">
        <w:rPr>
          <w:lang w:eastAsia="ko-KR"/>
        </w:rPr>
        <w:t xml:space="preserve"> to implement the receiver with</w:t>
      </w:r>
      <w:r w:rsidRPr="00AD0A80">
        <w:rPr>
          <w:lang w:eastAsia="ko-KR"/>
        </w:rPr>
        <w:t xml:space="preserve"> the general </w:t>
      </w:r>
      <w:r w:rsidR="002240C1">
        <w:rPr>
          <w:rFonts w:hint="eastAsia"/>
          <w:lang w:eastAsia="ko-KR"/>
        </w:rPr>
        <w:t xml:space="preserve">carrier </w:t>
      </w:r>
      <w:r w:rsidRPr="00AD0A80">
        <w:rPr>
          <w:lang w:eastAsia="ko-KR"/>
        </w:rPr>
        <w:t xml:space="preserve">frequency </w:t>
      </w:r>
      <w:r w:rsidR="002240C1">
        <w:rPr>
          <w:rFonts w:hint="eastAsia"/>
          <w:lang w:eastAsia="ko-KR"/>
        </w:rPr>
        <w:t>recovery</w:t>
      </w:r>
      <w:r w:rsidRPr="00AD0A80">
        <w:rPr>
          <w:lang w:eastAsia="ko-KR"/>
        </w:rPr>
        <w:t xml:space="preserve"> algorithm.</w:t>
      </w:r>
    </w:p>
    <w:p w:rsidR="00AD0A80" w:rsidRDefault="00AD0A80" w:rsidP="004B767A">
      <w:pPr>
        <w:pStyle w:val="BodyText"/>
        <w:rPr>
          <w:lang w:eastAsia="ko-KR"/>
        </w:rPr>
      </w:pPr>
    </w:p>
    <w:p w:rsidR="002B6D76" w:rsidRDefault="002B6D76" w:rsidP="004B767A">
      <w:pPr>
        <w:pStyle w:val="BodyText"/>
        <w:rPr>
          <w:lang w:eastAsia="ko-KR"/>
        </w:rPr>
      </w:pPr>
    </w:p>
    <w:p w:rsidR="002B6D76" w:rsidRDefault="002B6D76" w:rsidP="004B767A">
      <w:pPr>
        <w:pStyle w:val="BodyText"/>
        <w:rPr>
          <w:lang w:eastAsia="ko-KR"/>
        </w:rPr>
      </w:pPr>
    </w:p>
    <w:p w:rsidR="007974F2" w:rsidRDefault="007974F2" w:rsidP="007974F2">
      <w:pPr>
        <w:pStyle w:val="Heading2"/>
        <w:numPr>
          <w:ilvl w:val="1"/>
          <w:numId w:val="14"/>
        </w:numPr>
        <w:jc w:val="both"/>
        <w:rPr>
          <w:lang w:eastAsia="ko-KR"/>
        </w:rPr>
      </w:pPr>
      <w:r>
        <w:rPr>
          <w:rFonts w:hint="eastAsia"/>
          <w:lang w:eastAsia="ko-KR"/>
        </w:rPr>
        <w:t xml:space="preserve">BER Performance </w:t>
      </w:r>
      <w:r w:rsidR="00D16DD7">
        <w:rPr>
          <w:rFonts w:hint="eastAsia"/>
          <w:lang w:eastAsia="ko-KR"/>
        </w:rPr>
        <w:t xml:space="preserve">on General Carrier Recovery Algorithm </w:t>
      </w:r>
      <w:r w:rsidR="000C26E3">
        <w:rPr>
          <w:rFonts w:hint="eastAsia"/>
          <w:lang w:eastAsia="ko-KR"/>
        </w:rPr>
        <w:t xml:space="preserve">with </w:t>
      </w:r>
      <w:r w:rsidR="000C26E3">
        <w:rPr>
          <w:lang w:val="en-US" w:eastAsia="ko-KR"/>
        </w:rPr>
        <w:t xml:space="preserve">increasing </w:t>
      </w:r>
      <w:r w:rsidR="000C26E3">
        <w:rPr>
          <w:lang w:eastAsia="ko-KR"/>
        </w:rPr>
        <w:t>the</w:t>
      </w:r>
      <w:r w:rsidR="00D16DD7">
        <w:rPr>
          <w:rFonts w:hint="eastAsia"/>
          <w:lang w:eastAsia="ko-KR"/>
        </w:rPr>
        <w:t xml:space="preserve"> </w:t>
      </w:r>
      <w:r w:rsidR="00985431">
        <w:rPr>
          <w:rFonts w:hint="eastAsia"/>
          <w:lang w:eastAsia="ko-KR"/>
        </w:rPr>
        <w:t xml:space="preserve">Number </w:t>
      </w:r>
      <w:r>
        <w:rPr>
          <w:rFonts w:hint="eastAsia"/>
          <w:lang w:eastAsia="ko-KR"/>
        </w:rPr>
        <w:t>of Training Symbols</w:t>
      </w:r>
    </w:p>
    <w:p w:rsidR="00AD0A80" w:rsidRDefault="00AD0A80" w:rsidP="00D16DD7">
      <w:pPr>
        <w:pStyle w:val="BodyText"/>
        <w:rPr>
          <w:lang w:eastAsia="ko-KR"/>
        </w:rPr>
      </w:pPr>
      <w:r w:rsidRPr="00AD0A80">
        <w:rPr>
          <w:lang w:eastAsia="ko-KR"/>
        </w:rPr>
        <w:t xml:space="preserve">The number of training symbols is important for a general </w:t>
      </w:r>
      <w:r w:rsidR="00856CB2">
        <w:rPr>
          <w:rFonts w:hint="eastAsia"/>
          <w:lang w:eastAsia="ko-KR"/>
        </w:rPr>
        <w:t xml:space="preserve">carrier </w:t>
      </w:r>
      <w:r w:rsidRPr="00AD0A80">
        <w:rPr>
          <w:lang w:eastAsia="ko-KR"/>
        </w:rPr>
        <w:t xml:space="preserve">frequency recovery algorithm. However, </w:t>
      </w:r>
      <w:r w:rsidR="004A3B1A">
        <w:rPr>
          <w:lang w:val="en-US" w:eastAsia="ko-KR"/>
        </w:rPr>
        <w:t xml:space="preserve">the number of </w:t>
      </w:r>
      <w:r w:rsidRPr="00AD0A80">
        <w:rPr>
          <w:lang w:eastAsia="ko-KR"/>
        </w:rPr>
        <w:t>the training symbol</w:t>
      </w:r>
      <w:r w:rsidR="004A3B1A">
        <w:rPr>
          <w:lang w:eastAsia="ko-KR"/>
        </w:rPr>
        <w:t>s</w:t>
      </w:r>
      <w:r w:rsidR="00577E20">
        <w:rPr>
          <w:lang w:eastAsia="ko-KR"/>
        </w:rPr>
        <w:t xml:space="preserve"> defined in IALA G1139</w:t>
      </w:r>
      <w:r w:rsidRPr="00AD0A80">
        <w:rPr>
          <w:lang w:eastAsia="ko-KR"/>
        </w:rPr>
        <w:t xml:space="preserve"> is 27,</w:t>
      </w:r>
      <w:r w:rsidR="004A3B1A">
        <w:rPr>
          <w:lang w:eastAsia="ko-KR"/>
        </w:rPr>
        <w:t xml:space="preserve"> but which is short and considered </w:t>
      </w:r>
      <w:r w:rsidRPr="00AD0A80">
        <w:rPr>
          <w:lang w:eastAsia="ko-KR"/>
        </w:rPr>
        <w:t xml:space="preserve">not </w:t>
      </w:r>
      <w:r w:rsidR="004A3B1A">
        <w:rPr>
          <w:lang w:eastAsia="ko-KR"/>
        </w:rPr>
        <w:t>sufficient</w:t>
      </w:r>
      <w:r w:rsidRPr="00AD0A80">
        <w:rPr>
          <w:lang w:eastAsia="ko-KR"/>
        </w:rPr>
        <w:t xml:space="preserve"> to process frequency offset </w:t>
      </w:r>
      <w:r w:rsidR="004A3B1A">
        <w:rPr>
          <w:lang w:eastAsia="ko-KR"/>
        </w:rPr>
        <w:t>of 500</w:t>
      </w:r>
      <w:r w:rsidRPr="00AD0A80">
        <w:rPr>
          <w:lang w:eastAsia="ko-KR"/>
        </w:rPr>
        <w:t>Hz.</w:t>
      </w:r>
    </w:p>
    <w:p w:rsidR="00AD0A80" w:rsidRDefault="004A3B1A" w:rsidP="00D16DD7">
      <w:pPr>
        <w:pStyle w:val="BodyText"/>
        <w:rPr>
          <w:lang w:eastAsia="ko-KR"/>
        </w:rPr>
      </w:pPr>
      <w:r>
        <w:rPr>
          <w:lang w:eastAsia="ko-KR"/>
        </w:rPr>
        <w:t xml:space="preserve">In this section, </w:t>
      </w:r>
      <w:r w:rsidR="00AD0A80" w:rsidRPr="00AD0A80">
        <w:rPr>
          <w:lang w:eastAsia="ko-KR"/>
        </w:rPr>
        <w:t xml:space="preserve">the BER performance </w:t>
      </w:r>
      <w:r>
        <w:rPr>
          <w:lang w:eastAsia="ko-KR"/>
        </w:rPr>
        <w:t>is analysed to check</w:t>
      </w:r>
      <w:r w:rsidR="00AD0A80" w:rsidRPr="00AD0A80">
        <w:rPr>
          <w:lang w:eastAsia="ko-KR"/>
        </w:rPr>
        <w:t xml:space="preserve"> the </w:t>
      </w:r>
      <w:r>
        <w:rPr>
          <w:lang w:eastAsia="ko-KR"/>
        </w:rPr>
        <w:t xml:space="preserve">required number of training symbols capable of </w:t>
      </w:r>
      <w:r w:rsidR="00AD0A80" w:rsidRPr="00AD0A80">
        <w:rPr>
          <w:lang w:eastAsia="ko-KR"/>
        </w:rPr>
        <w:t>process</w:t>
      </w:r>
      <w:r>
        <w:rPr>
          <w:lang w:eastAsia="ko-KR"/>
        </w:rPr>
        <w:t>ing</w:t>
      </w:r>
      <w:r w:rsidR="00AD0A80" w:rsidRPr="00AD0A80">
        <w:rPr>
          <w:lang w:eastAsia="ko-KR"/>
        </w:rPr>
        <w:t xml:space="preserve"> frequency offset 500 Hz when applying general </w:t>
      </w:r>
      <w:r w:rsidR="00856CB2">
        <w:rPr>
          <w:rFonts w:hint="eastAsia"/>
          <w:lang w:eastAsia="ko-KR"/>
        </w:rPr>
        <w:t xml:space="preserve">carrier </w:t>
      </w:r>
      <w:r w:rsidR="00AD0A80" w:rsidRPr="00AD0A80">
        <w:rPr>
          <w:lang w:eastAsia="ko-KR"/>
        </w:rPr>
        <w:t xml:space="preserve">frequency </w:t>
      </w:r>
      <w:r w:rsidR="00856CB2">
        <w:rPr>
          <w:rFonts w:hint="eastAsia"/>
          <w:lang w:eastAsia="ko-KR"/>
        </w:rPr>
        <w:t>recovery</w:t>
      </w:r>
      <w:r w:rsidR="00856CB2" w:rsidRPr="00AD0A80">
        <w:rPr>
          <w:lang w:eastAsia="ko-KR"/>
        </w:rPr>
        <w:t xml:space="preserve"> </w:t>
      </w:r>
      <w:r w:rsidR="00AD0A80" w:rsidRPr="00AD0A80">
        <w:rPr>
          <w:lang w:eastAsia="ko-KR"/>
        </w:rPr>
        <w:t>algorithm.</w:t>
      </w:r>
    </w:p>
    <w:p w:rsidR="007974F2" w:rsidRDefault="00CA486A" w:rsidP="00CA486A">
      <w:pPr>
        <w:pStyle w:val="BodyText"/>
        <w:jc w:val="center"/>
        <w:rPr>
          <w:lang w:eastAsia="ko-KR"/>
        </w:rPr>
      </w:pPr>
      <w:r w:rsidRPr="00CA486A">
        <w:rPr>
          <w:noProof/>
          <w:lang w:val="nl-NL" w:eastAsia="nl-NL"/>
        </w:rPr>
        <w:drawing>
          <wp:inline distT="0" distB="0" distL="0" distR="0">
            <wp:extent cx="4467225" cy="3238637"/>
            <wp:effectExtent l="0" t="0" r="0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1427" cy="324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8D0" w:rsidRPr="002F73D4" w:rsidRDefault="00E438D0" w:rsidP="00E438D0">
      <w:pPr>
        <w:pStyle w:val="Caption"/>
        <w:jc w:val="center"/>
        <w:rPr>
          <w:lang w:eastAsia="ko-KR"/>
        </w:rPr>
      </w:pPr>
      <w:r w:rsidRPr="002F73D4">
        <w:rPr>
          <w:lang w:eastAsia="ko-KR"/>
        </w:rPr>
        <w:t xml:space="preserve">Figure </w:t>
      </w:r>
      <w:r w:rsidR="00542DA4" w:rsidRPr="002F73D4">
        <w:fldChar w:fldCharType="begin"/>
      </w:r>
      <w:r w:rsidRPr="002F73D4">
        <w:rPr>
          <w:lang w:eastAsia="ko-KR"/>
        </w:rPr>
        <w:instrText xml:space="preserve"> SEQ Figure \* ARABIC </w:instrText>
      </w:r>
      <w:r w:rsidR="00542DA4" w:rsidRPr="002F73D4">
        <w:fldChar w:fldCharType="separate"/>
      </w:r>
      <w:r w:rsidR="002A3512">
        <w:rPr>
          <w:noProof/>
          <w:lang w:eastAsia="ko-KR"/>
        </w:rPr>
        <w:t>2</w:t>
      </w:r>
      <w:r w:rsidR="00542DA4" w:rsidRPr="002F73D4">
        <w:fldChar w:fldCharType="end"/>
      </w:r>
      <w:r w:rsidR="00431FC1">
        <w:t>.</w:t>
      </w:r>
      <w:r w:rsidRPr="002F73D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BER Performance with </w:t>
      </w:r>
      <w:r w:rsidR="00985431">
        <w:rPr>
          <w:rFonts w:hint="eastAsia"/>
          <w:lang w:eastAsia="ko-KR"/>
        </w:rPr>
        <w:t xml:space="preserve">Number </w:t>
      </w:r>
      <w:r>
        <w:rPr>
          <w:rFonts w:hint="eastAsia"/>
          <w:lang w:eastAsia="ko-KR"/>
        </w:rPr>
        <w:t>of Training Symbols</w:t>
      </w:r>
      <w:r w:rsidR="005D6405">
        <w:rPr>
          <w:rFonts w:hint="eastAsia"/>
          <w:lang w:eastAsia="ko-KR"/>
        </w:rPr>
        <w:t xml:space="preserve"> (for LCID#08)</w:t>
      </w:r>
    </w:p>
    <w:p w:rsidR="00E438D0" w:rsidRPr="00E438D0" w:rsidRDefault="00E438D0" w:rsidP="00CA486A">
      <w:pPr>
        <w:pStyle w:val="BodyText"/>
        <w:jc w:val="center"/>
        <w:rPr>
          <w:lang w:eastAsia="ko-KR"/>
        </w:rPr>
      </w:pPr>
    </w:p>
    <w:p w:rsidR="007241DB" w:rsidRDefault="00AD0A80" w:rsidP="0096575B">
      <w:pPr>
        <w:pStyle w:val="BodyText"/>
        <w:rPr>
          <w:lang w:eastAsia="ko-KR"/>
        </w:rPr>
      </w:pPr>
      <w:r w:rsidRPr="00AD0A80">
        <w:rPr>
          <w:lang w:eastAsia="ko-KR"/>
        </w:rPr>
        <w:t xml:space="preserve">The </w:t>
      </w:r>
      <w:r w:rsidR="009C127B">
        <w:rPr>
          <w:lang w:eastAsia="ko-KR"/>
        </w:rPr>
        <w:t xml:space="preserve">below </w:t>
      </w:r>
      <w:r w:rsidRPr="00AD0A80">
        <w:rPr>
          <w:lang w:eastAsia="ko-KR"/>
        </w:rPr>
        <w:t>table</w:t>
      </w:r>
      <w:r w:rsidR="002A3512">
        <w:rPr>
          <w:lang w:eastAsia="ko-KR"/>
        </w:rPr>
        <w:t xml:space="preserve"> 2</w:t>
      </w:r>
      <w:r w:rsidRPr="00AD0A80">
        <w:rPr>
          <w:lang w:eastAsia="ko-KR"/>
        </w:rPr>
        <w:t xml:space="preserve"> shows t</w:t>
      </w:r>
      <w:r w:rsidR="009C127B">
        <w:rPr>
          <w:lang w:eastAsia="ko-KR"/>
        </w:rPr>
        <w:t xml:space="preserve">he </w:t>
      </w:r>
      <w:r w:rsidR="004A3B1A">
        <w:rPr>
          <w:lang w:val="en-US" w:eastAsia="ko-KR"/>
        </w:rPr>
        <w:t xml:space="preserve">required </w:t>
      </w:r>
      <w:r w:rsidR="009C127B">
        <w:rPr>
          <w:lang w:eastAsia="ko-KR"/>
        </w:rPr>
        <w:t>SNR to achieve BER of</w:t>
      </w:r>
      <w:r w:rsidRPr="00AD0A80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w:rPr>
                <w:rFonts w:ascii="Cambria Math" w:hAnsi="Cambria Math"/>
                <w:lang w:val="en-US" w:eastAsia="ko-KR"/>
              </w:rPr>
              <m:t>10</m:t>
            </m:r>
          </m:e>
          <m:sup>
            <m:r>
              <w:rPr>
                <w:rFonts w:ascii="Cambria Math" w:hAnsi="Cambria Math"/>
                <w:lang w:eastAsia="ko-KR"/>
              </w:rPr>
              <m:t>-6</m:t>
            </m:r>
          </m:sup>
        </m:sSup>
        <m:r>
          <w:rPr>
            <w:rFonts w:ascii="Cambria Math" w:hAnsi="Cambria Math"/>
            <w:lang w:eastAsia="ko-KR"/>
          </w:rPr>
          <m:t xml:space="preserve"> </m:t>
        </m:r>
      </m:oMath>
      <w:r w:rsidR="002A3512">
        <w:rPr>
          <w:lang w:eastAsia="ko-KR"/>
        </w:rPr>
        <w:t>per</w:t>
      </w:r>
      <w:r w:rsidR="009C127B">
        <w:rPr>
          <w:lang w:eastAsia="ko-KR"/>
        </w:rPr>
        <w:t xml:space="preserve"> the number of</w:t>
      </w:r>
      <w:r w:rsidRPr="00AD0A80">
        <w:rPr>
          <w:lang w:eastAsia="ko-KR"/>
        </w:rPr>
        <w:t xml:space="preserve"> training symbol from the above graph</w:t>
      </w:r>
      <w:r w:rsidR="009C127B">
        <w:rPr>
          <w:lang w:eastAsia="ko-KR"/>
        </w:rPr>
        <w:t xml:space="preserve"> in Figure 2</w:t>
      </w:r>
      <w:r w:rsidRPr="00AD0A80">
        <w:rPr>
          <w:lang w:eastAsia="ko-KR"/>
        </w:rPr>
        <w:t>.</w:t>
      </w:r>
    </w:p>
    <w:p w:rsidR="002B6D76" w:rsidRDefault="002B6D76" w:rsidP="0096575B">
      <w:pPr>
        <w:pStyle w:val="BodyText"/>
        <w:rPr>
          <w:lang w:eastAsia="ko-KR"/>
        </w:rPr>
      </w:pPr>
    </w:p>
    <w:p w:rsidR="007241DB" w:rsidRDefault="007241DB" w:rsidP="007241DB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0133D2">
        <w:fldChar w:fldCharType="begin"/>
      </w:r>
      <w:r w:rsidR="000133D2">
        <w:instrText xml:space="preserve"> SEQ Table \* ARABIC </w:instrText>
      </w:r>
      <w:r w:rsidR="000133D2">
        <w:fldChar w:fldCharType="separate"/>
      </w:r>
      <w:r w:rsidR="002A3512">
        <w:rPr>
          <w:noProof/>
        </w:rPr>
        <w:t>4</w:t>
      </w:r>
      <w:r w:rsidR="000133D2">
        <w:rPr>
          <w:noProof/>
        </w:rPr>
        <w:fldChar w:fldCharType="end"/>
      </w:r>
      <w:r w:rsidR="002B6D76">
        <w:rPr>
          <w:noProof/>
        </w:rPr>
        <w:t>.</w:t>
      </w:r>
      <w:r>
        <w:t xml:space="preserve"> </w:t>
      </w:r>
      <w:r>
        <w:rPr>
          <w:rFonts w:hint="eastAsia"/>
          <w:lang w:eastAsia="ko-KR"/>
        </w:rPr>
        <w:t xml:space="preserve">Required SNR with </w:t>
      </w:r>
      <w:r w:rsidR="00856CB2">
        <w:rPr>
          <w:rFonts w:hint="eastAsia"/>
          <w:lang w:eastAsia="ko-KR"/>
        </w:rPr>
        <w:t>Number</w:t>
      </w:r>
      <w:r w:rsidR="00223D8A">
        <w:rPr>
          <w:lang w:eastAsia="ko-KR"/>
        </w:rPr>
        <w:t xml:space="preserve"> </w:t>
      </w:r>
      <w:r>
        <w:rPr>
          <w:rFonts w:hint="eastAsia"/>
          <w:lang w:eastAsia="ko-KR"/>
        </w:rPr>
        <w:t>of Training Symbols</w:t>
      </w:r>
      <w:r w:rsidR="005D6405">
        <w:rPr>
          <w:rFonts w:hint="eastAsia"/>
          <w:lang w:eastAsia="ko-KR"/>
        </w:rPr>
        <w:t xml:space="preserve"> (for LCID#08)</w:t>
      </w:r>
    </w:p>
    <w:p w:rsidR="002B6D76" w:rsidRPr="002B6D76" w:rsidRDefault="002B6D76" w:rsidP="002B6D76">
      <w:pPr>
        <w:rPr>
          <w:sz w:val="12"/>
          <w:lang w:eastAsia="ko-KR"/>
        </w:rPr>
      </w:pPr>
    </w:p>
    <w:tbl>
      <w:tblPr>
        <w:tblW w:w="877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4"/>
        <w:gridCol w:w="3228"/>
        <w:gridCol w:w="2126"/>
        <w:gridCol w:w="1701"/>
      </w:tblGrid>
      <w:tr w:rsidR="00431FC1" w:rsidRPr="00431FC1" w:rsidTr="00431FC1">
        <w:trPr>
          <w:trHeight w:val="274"/>
          <w:jc w:val="center"/>
        </w:trPr>
        <w:tc>
          <w:tcPr>
            <w:tcW w:w="1724" w:type="dxa"/>
            <w:vMerge w:val="restart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07184" w:rsidP="00C07184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sz w:val="20"/>
                <w:lang w:eastAsia="ko-KR"/>
              </w:rPr>
              <w:t xml:space="preserve">Number of </w:t>
            </w:r>
            <w:r w:rsidR="00CA486A" w:rsidRPr="00431FC1">
              <w:rPr>
                <w:rFonts w:hint="eastAsia"/>
                <w:sz w:val="20"/>
                <w:lang w:eastAsia="ko-KR"/>
              </w:rPr>
              <w:t>Training</w:t>
            </w:r>
            <w:r w:rsidRPr="00431FC1">
              <w:rPr>
                <w:sz w:val="20"/>
                <w:lang w:eastAsia="ko-KR"/>
              </w:rPr>
              <w:t xml:space="preserve"> Symbols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07184" w:rsidP="00E60A2F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val="en-US"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>Required</w:t>
            </w:r>
            <w:r w:rsidR="00CA486A" w:rsidRPr="00431FC1">
              <w:rPr>
                <w:rFonts w:hint="eastAsia"/>
                <w:sz w:val="20"/>
                <w:lang w:eastAsia="ko-KR"/>
              </w:rPr>
              <w:t xml:space="preserve"> SNR [dB] @ BER = </w:t>
            </w:r>
            <m:oMath>
              <m:sSup>
                <m:sSupPr>
                  <m:ctrlPr>
                    <w:rPr>
                      <w:rFonts w:ascii="Cambria Math" w:hAnsi="Cambria Math"/>
                      <w:lang w:eastAsia="ko-KR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ko-KR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ko-KR"/>
                    </w:rPr>
                    <m:t>-6</m:t>
                  </m:r>
                </m:sup>
              </m:sSup>
            </m:oMath>
          </w:p>
        </w:tc>
        <w:tc>
          <w:tcPr>
            <w:tcW w:w="2126" w:type="dxa"/>
            <w:vMerge w:val="restart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431FC1">
            <w:pPr>
              <w:pStyle w:val="BodyText"/>
              <w:spacing w:after="0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>Data Rate</w:t>
            </w:r>
            <w:r w:rsidR="00C07184" w:rsidRPr="00431FC1">
              <w:rPr>
                <w:sz w:val="20"/>
                <w:lang w:eastAsia="ko-KR"/>
              </w:rPr>
              <w:t xml:space="preserve"> </w:t>
            </w:r>
            <w:r w:rsidRPr="00431FC1">
              <w:rPr>
                <w:rFonts w:hint="eastAsia"/>
                <w:sz w:val="20"/>
                <w:lang w:eastAsia="ko-KR"/>
              </w:rPr>
              <w:t>(</w:t>
            </w:r>
            <w:proofErr w:type="spellStart"/>
            <w:r w:rsidRPr="00431FC1">
              <w:rPr>
                <w:rFonts w:hint="eastAsia"/>
                <w:sz w:val="20"/>
                <w:lang w:eastAsia="ko-KR"/>
              </w:rPr>
              <w:t>Uncoded</w:t>
            </w:r>
            <w:proofErr w:type="spellEnd"/>
            <w:r w:rsidRPr="00431FC1">
              <w:rPr>
                <w:rFonts w:hint="eastAsia"/>
                <w:sz w:val="20"/>
                <w:lang w:eastAsia="ko-KR"/>
              </w:rPr>
              <w:t>)</w:t>
            </w:r>
          </w:p>
          <w:p w:rsidR="00CA486A" w:rsidRPr="00431FC1" w:rsidRDefault="00CA486A" w:rsidP="00431FC1">
            <w:pPr>
              <w:pStyle w:val="BodyText"/>
              <w:spacing w:after="0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[kbps] </w:t>
            </w:r>
          </w:p>
        </w:tc>
        <w:tc>
          <w:tcPr>
            <w:tcW w:w="1701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2A3512" w:rsidP="002A3512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sz w:val="20"/>
                <w:lang w:val="en-US" w:eastAsia="ko-KR"/>
              </w:rPr>
              <w:t>Note</w:t>
            </w:r>
          </w:p>
        </w:tc>
      </w:tr>
      <w:tr w:rsidR="00431FC1" w:rsidRPr="00431FC1" w:rsidTr="00431FC1">
        <w:trPr>
          <w:trHeight w:val="181"/>
          <w:jc w:val="center"/>
        </w:trPr>
        <w:tc>
          <w:tcPr>
            <w:tcW w:w="1724" w:type="dxa"/>
            <w:vMerge/>
            <w:tcBorders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3D577B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3D577B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>π</w:t>
            </w:r>
            <w:r w:rsidRPr="00431FC1">
              <w:rPr>
                <w:rFonts w:hint="eastAsia"/>
                <w:sz w:val="20"/>
                <w:lang w:eastAsia="ko-KR"/>
              </w:rPr>
              <w:t xml:space="preserve">/4-QPSK TC 1/2 </w:t>
            </w:r>
          </w:p>
        </w:tc>
        <w:tc>
          <w:tcPr>
            <w:tcW w:w="2126" w:type="dxa"/>
            <w:vMerge/>
            <w:tcBorders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3D577B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  <w:tc>
          <w:tcPr>
            <w:tcW w:w="1701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CA486A" w:rsidRPr="00431FC1" w:rsidRDefault="00CA486A" w:rsidP="003D577B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E60A2F">
        <w:trPr>
          <w:trHeight w:val="40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27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10.3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14.775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431FC1" w:rsidP="00273104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val="en-US" w:eastAsia="ko-KR"/>
              </w:rPr>
            </w:pPr>
            <w:r w:rsidRPr="00431FC1">
              <w:rPr>
                <w:sz w:val="20"/>
                <w:lang w:eastAsia="ko-KR"/>
              </w:rPr>
              <w:t xml:space="preserve">Defined in </w:t>
            </w:r>
            <w:r w:rsidR="00CA486A" w:rsidRPr="00431FC1">
              <w:rPr>
                <w:rFonts w:hint="eastAsia"/>
                <w:sz w:val="20"/>
                <w:lang w:eastAsia="ko-KR"/>
              </w:rPr>
              <w:t>G1139</w:t>
            </w:r>
          </w:p>
        </w:tc>
      </w:tr>
      <w:tr w:rsidR="00C07184" w:rsidRPr="00431FC1" w:rsidTr="00431FC1">
        <w:trPr>
          <w:trHeight w:val="207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50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8.2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13.050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1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75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7.4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11.175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1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100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6.8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9.300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92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120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6.5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7.800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1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140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5.8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6.300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1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160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5.5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4.800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07184" w:rsidRPr="00431FC1" w:rsidTr="00431FC1">
        <w:trPr>
          <w:trHeight w:val="16"/>
          <w:jc w:val="center"/>
        </w:trPr>
        <w:tc>
          <w:tcPr>
            <w:tcW w:w="172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170 </w:t>
            </w:r>
          </w:p>
        </w:tc>
        <w:tc>
          <w:tcPr>
            <w:tcW w:w="32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5.0 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431FC1">
              <w:rPr>
                <w:rFonts w:hint="eastAsia"/>
                <w:sz w:val="20"/>
                <w:lang w:eastAsia="ko-KR"/>
              </w:rPr>
              <w:t xml:space="preserve">4.050 </w:t>
            </w: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CA486A" w:rsidRPr="00431FC1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</w:tbl>
    <w:p w:rsidR="00CA486A" w:rsidRDefault="00CA486A" w:rsidP="0096575B">
      <w:pPr>
        <w:pStyle w:val="BodyText"/>
        <w:rPr>
          <w:lang w:eastAsia="ko-KR"/>
        </w:rPr>
      </w:pPr>
    </w:p>
    <w:p w:rsidR="007241DB" w:rsidRDefault="002A3512" w:rsidP="0096575B">
      <w:pPr>
        <w:pStyle w:val="BodyText"/>
        <w:rPr>
          <w:lang w:eastAsia="ko-KR"/>
        </w:rPr>
      </w:pPr>
      <w:r>
        <w:rPr>
          <w:lang w:eastAsia="ko-KR"/>
        </w:rPr>
        <w:lastRenderedPageBreak/>
        <w:t>T</w:t>
      </w:r>
      <w:r w:rsidR="00C07184">
        <w:rPr>
          <w:lang w:eastAsia="ko-KR"/>
        </w:rPr>
        <w:t xml:space="preserve">he </w:t>
      </w:r>
      <w:r w:rsidR="009C127B">
        <w:rPr>
          <w:lang w:eastAsia="ko-KR"/>
        </w:rPr>
        <w:t xml:space="preserve">above </w:t>
      </w:r>
      <w:r w:rsidR="00C07184">
        <w:rPr>
          <w:lang w:eastAsia="ko-KR"/>
        </w:rPr>
        <w:t>table</w:t>
      </w:r>
      <w:r>
        <w:rPr>
          <w:lang w:eastAsia="ko-KR"/>
        </w:rPr>
        <w:t xml:space="preserve"> 4</w:t>
      </w:r>
      <w:r w:rsidR="009C127B">
        <w:rPr>
          <w:lang w:eastAsia="ko-KR"/>
        </w:rPr>
        <w:t xml:space="preserve"> shows that t</w:t>
      </w:r>
      <w:r w:rsidR="00AD0A80" w:rsidRPr="00AD0A80">
        <w:rPr>
          <w:lang w:eastAsia="ko-KR"/>
        </w:rPr>
        <w:t xml:space="preserve">he </w:t>
      </w:r>
      <w:r w:rsidR="009C127B">
        <w:rPr>
          <w:lang w:eastAsia="ko-KR"/>
        </w:rPr>
        <w:t xml:space="preserve">required SNR </w:t>
      </w:r>
      <w:r w:rsidR="00C07184">
        <w:rPr>
          <w:lang w:eastAsia="ko-KR"/>
        </w:rPr>
        <w:t>to achieve</w:t>
      </w:r>
      <w:r w:rsidR="009C127B">
        <w:rPr>
          <w:lang w:eastAsia="ko-KR"/>
        </w:rPr>
        <w:t xml:space="preserve"> BER of</w:t>
      </w:r>
      <w:r w:rsidR="00AD0A80" w:rsidRPr="00AD0A80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w:rPr>
                <w:rFonts w:ascii="Cambria Math" w:hAnsi="Cambria Math"/>
                <w:lang w:val="en-US" w:eastAsia="ko-KR"/>
              </w:rPr>
              <m:t>10</m:t>
            </m:r>
          </m:e>
          <m:sup>
            <m:r>
              <w:rPr>
                <w:rFonts w:ascii="Cambria Math" w:hAnsi="Cambria Math"/>
                <w:lang w:eastAsia="ko-KR"/>
              </w:rPr>
              <m:t>-6</m:t>
            </m:r>
          </m:sup>
        </m:sSup>
        <m:r>
          <w:rPr>
            <w:rFonts w:ascii="Cambria Math" w:hAnsi="Cambria Math"/>
            <w:lang w:eastAsia="ko-KR"/>
          </w:rPr>
          <m:t xml:space="preserve"> </m:t>
        </m:r>
      </m:oMath>
      <w:r w:rsidR="00AD0A80" w:rsidRPr="00AD0A80">
        <w:rPr>
          <w:lang w:eastAsia="ko-KR"/>
        </w:rPr>
        <w:t>is 3.5dB</w:t>
      </w:r>
      <w:r w:rsidR="006A2B54">
        <w:rPr>
          <w:lang w:eastAsia="ko-KR"/>
        </w:rPr>
        <w:t xml:space="preserve"> in </w:t>
      </w:r>
      <w:r w:rsidR="00C07184">
        <w:rPr>
          <w:lang w:eastAsia="ko-KR"/>
        </w:rPr>
        <w:t xml:space="preserve">the condition </w:t>
      </w:r>
      <w:r w:rsidR="006A2B54">
        <w:rPr>
          <w:lang w:eastAsia="ko-KR"/>
        </w:rPr>
        <w:t xml:space="preserve">of </w:t>
      </w:r>
      <w:r w:rsidR="006A2B54" w:rsidRPr="00AD0A80">
        <w:rPr>
          <w:lang w:eastAsia="ko-KR"/>
        </w:rPr>
        <w:t xml:space="preserve">ideal </w:t>
      </w:r>
      <w:r w:rsidR="005D6405">
        <w:rPr>
          <w:rFonts w:hint="eastAsia"/>
          <w:lang w:eastAsia="ko-KR"/>
        </w:rPr>
        <w:t>synchronization</w:t>
      </w:r>
      <w:r w:rsidR="00AD0A80" w:rsidRPr="00AD0A80">
        <w:rPr>
          <w:lang w:eastAsia="ko-KR"/>
        </w:rPr>
        <w:t xml:space="preserve">, </w:t>
      </w:r>
      <w:r w:rsidR="006A2B54">
        <w:rPr>
          <w:lang w:eastAsia="ko-KR"/>
        </w:rPr>
        <w:t>the</w:t>
      </w:r>
      <w:r w:rsidR="00AD0A80" w:rsidRPr="00AD0A80">
        <w:rPr>
          <w:lang w:eastAsia="ko-KR"/>
        </w:rPr>
        <w:t xml:space="preserve"> </w:t>
      </w:r>
      <w:r w:rsidR="006A2B54">
        <w:rPr>
          <w:lang w:eastAsia="ko-KR"/>
        </w:rPr>
        <w:t xml:space="preserve">total required SNR is </w:t>
      </w:r>
      <w:r w:rsidR="00AD0A80" w:rsidRPr="00AD0A80">
        <w:rPr>
          <w:lang w:eastAsia="ko-KR"/>
        </w:rPr>
        <w:t>5dB</w:t>
      </w:r>
      <w:r w:rsidR="00C07184" w:rsidRPr="00AD0A80">
        <w:rPr>
          <w:lang w:eastAsia="ko-KR"/>
        </w:rPr>
        <w:t xml:space="preserve"> </w:t>
      </w:r>
      <w:r w:rsidR="00C07184">
        <w:rPr>
          <w:lang w:eastAsia="ko-KR"/>
        </w:rPr>
        <w:t xml:space="preserve">if </w:t>
      </w:r>
      <w:r w:rsidR="00C07184" w:rsidRPr="00AD0A80">
        <w:rPr>
          <w:lang w:eastAsia="ko-KR"/>
        </w:rPr>
        <w:t xml:space="preserve">a typical implementation margin of 1.5dB </w:t>
      </w:r>
      <w:r w:rsidR="00C07184">
        <w:rPr>
          <w:lang w:eastAsia="ko-KR"/>
        </w:rPr>
        <w:t>is added</w:t>
      </w:r>
      <w:r w:rsidR="00AD0A80" w:rsidRPr="00AD0A80">
        <w:rPr>
          <w:lang w:eastAsia="ko-KR"/>
        </w:rPr>
        <w:t xml:space="preserve">. </w:t>
      </w:r>
      <w:r w:rsidR="006A2B54">
        <w:rPr>
          <w:lang w:eastAsia="ko-KR"/>
        </w:rPr>
        <w:t xml:space="preserve">As the result of </w:t>
      </w:r>
      <w:r w:rsidR="00AD0A80" w:rsidRPr="00AD0A80">
        <w:rPr>
          <w:lang w:eastAsia="ko-KR"/>
        </w:rPr>
        <w:t xml:space="preserve">the simulation, the </w:t>
      </w:r>
      <w:r w:rsidR="00C07184">
        <w:rPr>
          <w:lang w:eastAsia="ko-KR"/>
        </w:rPr>
        <w:t>number of training symbols satisfying with</w:t>
      </w:r>
      <w:r w:rsidR="00AD0A80" w:rsidRPr="00AD0A80">
        <w:rPr>
          <w:lang w:eastAsia="ko-KR"/>
        </w:rPr>
        <w:t xml:space="preserve"> the target SNR of 5dB </w:t>
      </w:r>
      <w:r w:rsidR="006A2B54">
        <w:rPr>
          <w:lang w:eastAsia="ko-KR"/>
        </w:rPr>
        <w:t xml:space="preserve">is </w:t>
      </w:r>
      <w:r w:rsidR="00C07184">
        <w:rPr>
          <w:lang w:eastAsia="ko-KR"/>
        </w:rPr>
        <w:t>ident</w:t>
      </w:r>
      <w:r w:rsidR="005A1590">
        <w:rPr>
          <w:lang w:eastAsia="ko-KR"/>
        </w:rPr>
        <w:t xml:space="preserve">ified </w:t>
      </w:r>
      <w:r w:rsidR="006A2B54">
        <w:rPr>
          <w:lang w:eastAsia="ko-KR"/>
        </w:rPr>
        <w:t xml:space="preserve">to be </w:t>
      </w:r>
      <w:r w:rsidR="00AD0A80" w:rsidRPr="00AD0A80">
        <w:rPr>
          <w:lang w:eastAsia="ko-KR"/>
        </w:rPr>
        <w:t>about 170.</w:t>
      </w:r>
      <w:r w:rsidR="00223D8A">
        <w:rPr>
          <w:lang w:eastAsia="ko-KR"/>
        </w:rPr>
        <w:t xml:space="preserve"> </w:t>
      </w:r>
      <w:r w:rsidR="00AD0A80" w:rsidRPr="00AD0A80">
        <w:rPr>
          <w:lang w:eastAsia="ko-KR"/>
        </w:rPr>
        <w:t>In this case, the payload data rate is</w:t>
      </w:r>
      <w:r w:rsidR="005A1590">
        <w:rPr>
          <w:lang w:eastAsia="ko-KR"/>
        </w:rPr>
        <w:t xml:space="preserve"> 4kbps</w:t>
      </w:r>
      <w:r w:rsidR="00AD0A80" w:rsidRPr="00AD0A80">
        <w:rPr>
          <w:lang w:eastAsia="ko-KR"/>
        </w:rPr>
        <w:t xml:space="preserve"> which </w:t>
      </w:r>
      <w:r>
        <w:rPr>
          <w:lang w:eastAsia="ko-KR"/>
        </w:rPr>
        <w:t>is</w:t>
      </w:r>
      <w:r w:rsidR="00AD0A80" w:rsidRPr="00AD0A80">
        <w:rPr>
          <w:lang w:eastAsia="ko-KR"/>
        </w:rPr>
        <w:t xml:space="preserve"> significantly lower tha</w:t>
      </w:r>
      <w:r>
        <w:rPr>
          <w:lang w:eastAsia="ko-KR"/>
        </w:rPr>
        <w:t>n the payload data rate of</w:t>
      </w:r>
      <w:r w:rsidR="00AD0A80" w:rsidRPr="00AD0A80">
        <w:rPr>
          <w:lang w:eastAsia="ko-KR"/>
        </w:rPr>
        <w:t xml:space="preserve"> 14kbps when using 27 training symbols.</w:t>
      </w:r>
    </w:p>
    <w:p w:rsidR="00F51105" w:rsidRDefault="00F51105" w:rsidP="0096575B">
      <w:pPr>
        <w:pStyle w:val="BodyText"/>
        <w:rPr>
          <w:lang w:eastAsia="ko-KR"/>
        </w:rPr>
      </w:pPr>
    </w:p>
    <w:p w:rsidR="007974F2" w:rsidRPr="00605E43" w:rsidRDefault="007974F2" w:rsidP="007974F2">
      <w:pPr>
        <w:pStyle w:val="Heading2"/>
        <w:numPr>
          <w:ilvl w:val="1"/>
          <w:numId w:val="14"/>
        </w:numPr>
        <w:jc w:val="both"/>
      </w:pPr>
      <w:r>
        <w:rPr>
          <w:rFonts w:hint="eastAsia"/>
          <w:lang w:eastAsia="ko-KR"/>
        </w:rPr>
        <w:t>Differential Modulation</w:t>
      </w:r>
    </w:p>
    <w:p w:rsidR="00AD0A80" w:rsidRDefault="00E91C68" w:rsidP="007241DB">
      <w:pPr>
        <w:pStyle w:val="BodyText"/>
        <w:rPr>
          <w:lang w:eastAsia="ko-KR"/>
        </w:rPr>
      </w:pPr>
      <w:r>
        <w:rPr>
          <w:lang w:eastAsia="ko-KR"/>
        </w:rPr>
        <w:t>T</w:t>
      </w:r>
      <w:r w:rsidR="005A1590">
        <w:rPr>
          <w:lang w:eastAsia="ko-KR"/>
        </w:rPr>
        <w:t>his section</w:t>
      </w:r>
      <w:r>
        <w:rPr>
          <w:lang w:eastAsia="ko-KR"/>
        </w:rPr>
        <w:t xml:space="preserve"> anal</w:t>
      </w:r>
      <w:r w:rsidR="002A3512">
        <w:rPr>
          <w:lang w:eastAsia="ko-KR"/>
        </w:rPr>
        <w:t>ysed</w:t>
      </w:r>
      <w:r w:rsidR="005A1590">
        <w:rPr>
          <w:lang w:eastAsia="ko-KR"/>
        </w:rPr>
        <w:t xml:space="preserve"> </w:t>
      </w:r>
      <w:r w:rsidR="00AD0A80" w:rsidRPr="00AD0A80">
        <w:rPr>
          <w:lang w:eastAsia="ko-KR"/>
        </w:rPr>
        <w:t xml:space="preserve">the performance of the differential modulation scheme </w:t>
      </w:r>
      <w:r w:rsidR="00473B82">
        <w:rPr>
          <w:lang w:eastAsia="ko-KR"/>
        </w:rPr>
        <w:t xml:space="preserve">capable </w:t>
      </w:r>
      <w:r w:rsidR="00AD0A80" w:rsidRPr="00AD0A80">
        <w:rPr>
          <w:lang w:eastAsia="ko-KR"/>
        </w:rPr>
        <w:t>of effectively handling the frequency offset while maintaining the data rate</w:t>
      </w:r>
      <w:r w:rsidR="005A1590">
        <w:rPr>
          <w:lang w:eastAsia="ko-KR"/>
        </w:rPr>
        <w:t xml:space="preserve"> </w:t>
      </w:r>
      <w:r>
        <w:rPr>
          <w:lang w:eastAsia="ko-KR"/>
        </w:rPr>
        <w:t>whilst</w:t>
      </w:r>
      <w:r w:rsidR="005A1590" w:rsidRPr="00AD0A80">
        <w:rPr>
          <w:lang w:eastAsia="ko-KR"/>
        </w:rPr>
        <w:t xml:space="preserve"> </w:t>
      </w:r>
      <w:r w:rsidR="005A1590">
        <w:rPr>
          <w:lang w:eastAsia="ko-KR"/>
        </w:rPr>
        <w:t xml:space="preserve">it </w:t>
      </w:r>
      <w:r w:rsidR="005A1590" w:rsidRPr="00AD0A80">
        <w:rPr>
          <w:lang w:eastAsia="ko-KR"/>
        </w:rPr>
        <w:t>differs from the modulation scheme specif</w:t>
      </w:r>
      <w:r w:rsidR="005A1590">
        <w:rPr>
          <w:lang w:eastAsia="ko-KR"/>
        </w:rPr>
        <w:t>ied in the IALA G1139</w:t>
      </w:r>
      <w:r w:rsidR="00E60A2F">
        <w:rPr>
          <w:lang w:eastAsia="ko-KR"/>
        </w:rPr>
        <w:t xml:space="preserve"> Ed.1</w:t>
      </w:r>
      <w:r w:rsidR="00AD0A80" w:rsidRPr="00AD0A80">
        <w:rPr>
          <w:lang w:eastAsia="ko-KR"/>
        </w:rPr>
        <w:t>.</w:t>
      </w:r>
    </w:p>
    <w:p w:rsidR="007241DB" w:rsidRDefault="00AD0A80" w:rsidP="0096575B">
      <w:pPr>
        <w:pStyle w:val="BodyText"/>
        <w:rPr>
          <w:lang w:eastAsia="ko-KR"/>
        </w:rPr>
      </w:pPr>
      <w:r w:rsidRPr="00AD0A80">
        <w:rPr>
          <w:lang w:eastAsia="ko-KR"/>
        </w:rPr>
        <w:t>The following table shows the</w:t>
      </w:r>
      <w:r w:rsidR="005A1590">
        <w:rPr>
          <w:lang w:eastAsia="ko-KR"/>
        </w:rPr>
        <w:t xml:space="preserve"> required</w:t>
      </w:r>
      <w:r w:rsidRPr="00AD0A80">
        <w:rPr>
          <w:lang w:eastAsia="ko-KR"/>
        </w:rPr>
        <w:t xml:space="preserve"> SNR to achieve a BER = </w:t>
      </w:r>
      <m:oMath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w:rPr>
                <w:rFonts w:ascii="Cambria Math" w:hAnsi="Cambria Math"/>
                <w:lang w:val="en-US" w:eastAsia="ko-KR"/>
              </w:rPr>
              <m:t>10</m:t>
            </m:r>
          </m:e>
          <m:sup>
            <m:r>
              <w:rPr>
                <w:rFonts w:ascii="Cambria Math" w:hAnsi="Cambria Math"/>
                <w:lang w:eastAsia="ko-KR"/>
              </w:rPr>
              <m:t>-6</m:t>
            </m:r>
          </m:sup>
        </m:sSup>
      </m:oMath>
      <w:r w:rsidR="00E60A2F">
        <w:rPr>
          <w:rFonts w:hint="eastAsia"/>
          <w:lang w:eastAsia="ko-KR"/>
        </w:rPr>
        <w:t xml:space="preserve"> </w:t>
      </w:r>
      <w:r w:rsidRPr="00AD0A80">
        <w:rPr>
          <w:lang w:eastAsia="ko-KR"/>
        </w:rPr>
        <w:t>per</w:t>
      </w:r>
      <w:r w:rsidR="00BE5708">
        <w:rPr>
          <w:lang w:eastAsia="ko-KR"/>
        </w:rPr>
        <w:t xml:space="preserve"> each</w:t>
      </w:r>
      <w:r w:rsidRPr="00AD0A80">
        <w:rPr>
          <w:lang w:eastAsia="ko-KR"/>
        </w:rPr>
        <w:t xml:space="preserve"> LCID for the differential modulation scheme with 27 training symbols under a frequency offset of 500 Hz.</w:t>
      </w:r>
    </w:p>
    <w:p w:rsidR="00702FD9" w:rsidRPr="007241DB" w:rsidRDefault="00702FD9" w:rsidP="0096575B">
      <w:pPr>
        <w:pStyle w:val="BodyText"/>
        <w:rPr>
          <w:lang w:eastAsia="ko-KR"/>
        </w:rPr>
      </w:pPr>
    </w:p>
    <w:p w:rsidR="00CA486A" w:rsidRDefault="00CA486A" w:rsidP="00CA486A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0133D2">
        <w:fldChar w:fldCharType="begin"/>
      </w:r>
      <w:r w:rsidR="000133D2">
        <w:instrText xml:space="preserve"> SEQ Table \* ARABIC </w:instrText>
      </w:r>
      <w:r w:rsidR="000133D2">
        <w:fldChar w:fldCharType="separate"/>
      </w:r>
      <w:r w:rsidR="002A3512">
        <w:rPr>
          <w:noProof/>
        </w:rPr>
        <w:t>5</w:t>
      </w:r>
      <w:r w:rsidR="000133D2">
        <w:rPr>
          <w:noProof/>
        </w:rPr>
        <w:fldChar w:fldCharType="end"/>
      </w:r>
      <w:r w:rsidR="0016280A">
        <w:rPr>
          <w:noProof/>
        </w:rPr>
        <w:t>.</w:t>
      </w:r>
      <w:r>
        <w:t xml:space="preserve"> </w:t>
      </w:r>
      <w:r>
        <w:rPr>
          <w:rFonts w:hint="eastAsia"/>
          <w:lang w:eastAsia="ko-KR"/>
        </w:rPr>
        <w:t>Required SNR on Differential Modulation</w:t>
      </w:r>
    </w:p>
    <w:p w:rsidR="00702FD9" w:rsidRPr="00702FD9" w:rsidRDefault="00702FD9" w:rsidP="00702FD9">
      <w:pPr>
        <w:rPr>
          <w:lang w:eastAsia="ko-KR"/>
        </w:rPr>
      </w:pPr>
    </w:p>
    <w:tbl>
      <w:tblPr>
        <w:tblW w:w="89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1984"/>
        <w:gridCol w:w="2268"/>
        <w:gridCol w:w="2540"/>
      </w:tblGrid>
      <w:tr w:rsidR="00CA486A" w:rsidRPr="00CA486A" w:rsidTr="002B6D76">
        <w:trPr>
          <w:trHeight w:val="173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907F6A" w:rsidRPr="002B6D76" w:rsidRDefault="00907F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with Coherent</w:t>
            </w:r>
          </w:p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Ideal </w:t>
            </w:r>
            <w:r w:rsidR="00CC5A5D" w:rsidRPr="002B6D76">
              <w:rPr>
                <w:rFonts w:hint="eastAsia"/>
                <w:sz w:val="20"/>
                <w:lang w:eastAsia="ko-KR"/>
              </w:rPr>
              <w:t>sync.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E91C68" w:rsidP="002B6D76">
            <w:pPr>
              <w:pStyle w:val="BodyText"/>
              <w:spacing w:after="0" w:line="1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sz w:val="20"/>
                <w:lang w:val="en-US" w:eastAsia="ko-KR"/>
              </w:rPr>
              <w:t>Result applying</w:t>
            </w:r>
            <w:r w:rsidR="002B6D76">
              <w:rPr>
                <w:sz w:val="20"/>
                <w:lang w:val="en-US" w:eastAsia="ko-KR"/>
              </w:rPr>
              <w:t xml:space="preserve"> </w:t>
            </w:r>
            <w:r w:rsidRPr="002B6D76">
              <w:rPr>
                <w:sz w:val="20"/>
                <w:lang w:val="en-US" w:eastAsia="ko-KR"/>
              </w:rPr>
              <w:t>the differential modulation</w:t>
            </w:r>
            <w:r w:rsidR="00CA486A" w:rsidRPr="002B6D76">
              <w:rPr>
                <w:rFonts w:hint="eastAsia"/>
                <w:sz w:val="20"/>
                <w:lang w:eastAsia="ko-KR"/>
              </w:rPr>
              <w:t xml:space="preserve"> </w:t>
            </w:r>
          </w:p>
        </w:tc>
        <w:tc>
          <w:tcPr>
            <w:tcW w:w="2540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2B6D76" w:rsidRDefault="00E91C68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sz w:val="20"/>
                <w:lang w:val="en-US" w:eastAsia="ko-KR"/>
              </w:rPr>
              <w:t xml:space="preserve">Performance Degradation </w:t>
            </w:r>
            <w:r w:rsidRPr="002B6D76">
              <w:rPr>
                <w:sz w:val="20"/>
                <w:lang w:val="en-US" w:eastAsia="ko-KR"/>
              </w:rPr>
              <w:br/>
              <w:t>at differential modulation</w:t>
            </w:r>
            <w:r w:rsidR="00CA486A" w:rsidRPr="002B6D76">
              <w:rPr>
                <w:rFonts w:hint="eastAsia"/>
                <w:sz w:val="20"/>
                <w:lang w:eastAsia="ko-KR"/>
              </w:rPr>
              <w:t xml:space="preserve"> </w:t>
            </w:r>
            <w:r w:rsidRPr="002B6D76">
              <w:rPr>
                <w:sz w:val="20"/>
                <w:lang w:eastAsia="ko-KR"/>
              </w:rPr>
              <w:br/>
            </w:r>
            <w:r w:rsidR="00CA486A" w:rsidRPr="002B6D76">
              <w:rPr>
                <w:rFonts w:hint="eastAsia"/>
                <w:sz w:val="20"/>
                <w:lang w:eastAsia="ko-KR"/>
              </w:rPr>
              <w:t>(</w:t>
            </w:r>
            <w:r w:rsidRPr="002B6D76">
              <w:rPr>
                <w:sz w:val="20"/>
                <w:lang w:eastAsia="ko-KR"/>
              </w:rPr>
              <w:t xml:space="preserve">Gap for Required </w:t>
            </w:r>
            <w:r w:rsidR="00CA486A" w:rsidRPr="002B6D76">
              <w:rPr>
                <w:rFonts w:hint="eastAsia"/>
                <w:sz w:val="20"/>
                <w:lang w:eastAsia="ko-KR"/>
              </w:rPr>
              <w:t>SNR)</w:t>
            </w:r>
          </w:p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[dB] </w:t>
            </w:r>
          </w:p>
        </w:tc>
      </w:tr>
      <w:tr w:rsidR="00CA486A" w:rsidRPr="00CA486A" w:rsidTr="002B6D76">
        <w:trPr>
          <w:trHeight w:val="474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LCID (MCS)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2B6D76" w:rsidRDefault="00E91C68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Required</w:t>
            </w:r>
            <w:r w:rsidR="00CA486A" w:rsidRPr="002B6D76">
              <w:rPr>
                <w:rFonts w:hint="eastAsia"/>
                <w:sz w:val="20"/>
                <w:lang w:eastAsia="ko-KR"/>
              </w:rPr>
              <w:t xml:space="preserve"> SNR [dB]</w:t>
            </w:r>
          </w:p>
          <w:p w:rsidR="003D577B" w:rsidRPr="002B6D76" w:rsidRDefault="00CA486A" w:rsidP="00E60A2F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@ BER=</w:t>
            </w:r>
            <m:oMath>
              <m:sSup>
                <m:sSupPr>
                  <m:ctrlPr>
                    <w:rPr>
                      <w:rFonts w:ascii="Cambria Math" w:hAnsi="Cambria Math"/>
                      <w:lang w:eastAsia="ko-KR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ko-KR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ko-KR"/>
                    </w:rPr>
                    <m:t>-6</m:t>
                  </m:r>
                </m:sup>
              </m:sSup>
            </m:oMath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CA486A" w:rsidRPr="002B6D76" w:rsidRDefault="00E91C68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Required</w:t>
            </w:r>
            <w:r w:rsidR="00CA486A" w:rsidRPr="002B6D76">
              <w:rPr>
                <w:rFonts w:hint="eastAsia"/>
                <w:sz w:val="20"/>
                <w:lang w:eastAsia="ko-KR"/>
              </w:rPr>
              <w:t xml:space="preserve"> SNR [dB]</w:t>
            </w:r>
          </w:p>
          <w:p w:rsidR="003D577B" w:rsidRPr="002B6D76" w:rsidRDefault="00CA486A" w:rsidP="00E60A2F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val="en-US"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@ BER=</w:t>
            </w:r>
            <m:oMath>
              <m:sSup>
                <m:sSupPr>
                  <m:ctrlPr>
                    <w:rPr>
                      <w:rFonts w:ascii="Cambria Math" w:hAnsi="Cambria Math"/>
                      <w:lang w:eastAsia="ko-KR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ko-KR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ko-KR"/>
                    </w:rPr>
                    <m:t>-6</m:t>
                  </m:r>
                </m:sup>
              </m:sSup>
            </m:oMath>
          </w:p>
        </w:tc>
        <w:tc>
          <w:tcPr>
            <w:tcW w:w="254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CA486A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05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6.2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9.3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2.9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06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5.6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8.8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3.2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07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5.5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8.8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3.3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08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1/2)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3.5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6.6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3.1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09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1/2)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3.7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6.7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3.0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10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1/2)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2.3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5.8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3.5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11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3.0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6.4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3.4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14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2.3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5.5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3.2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>17 (</w:t>
            </w:r>
            <w:r w:rsidRPr="002B6D76">
              <w:rPr>
                <w:rFonts w:hint="eastAsia"/>
                <w:sz w:val="20"/>
                <w:lang w:eastAsia="ko-KR"/>
              </w:rPr>
              <w:t>π</w:t>
            </w:r>
            <w:r w:rsidRPr="002B6D76">
              <w:rPr>
                <w:rFonts w:hint="eastAsia"/>
                <w:sz w:val="20"/>
                <w:lang w:eastAsia="ko-KR"/>
              </w:rPr>
              <w:t xml:space="preserve">/4-QPSK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1.9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5.1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3.2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12 (8PSK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9.9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13.2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3.3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15 (8PSK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9.4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12.7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3.3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18 (8PSK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9.4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12.6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3.2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13 (16-QAM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11.8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16.2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4.4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16 (16-QAM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11.5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16.2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4.7 </w:t>
            </w:r>
          </w:p>
        </w:tc>
      </w:tr>
      <w:tr w:rsidR="00CA486A" w:rsidRPr="00CA486A" w:rsidTr="002B6D76">
        <w:trPr>
          <w:trHeight w:val="391"/>
          <w:jc w:val="center"/>
        </w:trPr>
        <w:tc>
          <w:tcPr>
            <w:tcW w:w="212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19 (16-QAM 3/4) </w:t>
            </w:r>
          </w:p>
        </w:tc>
        <w:tc>
          <w:tcPr>
            <w:tcW w:w="19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11.5 </w:t>
            </w:r>
          </w:p>
        </w:tc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4" w:type="dxa"/>
              <w:bottom w:w="45" w:type="dxa"/>
              <w:right w:w="144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15.8 </w:t>
            </w:r>
          </w:p>
        </w:tc>
        <w:tc>
          <w:tcPr>
            <w:tcW w:w="25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45" w:type="dxa"/>
              <w:left w:w="142" w:type="dxa"/>
              <w:bottom w:w="45" w:type="dxa"/>
              <w:right w:w="142" w:type="dxa"/>
            </w:tcMar>
            <w:vAlign w:val="center"/>
            <w:hideMark/>
          </w:tcPr>
          <w:p w:rsidR="003D577B" w:rsidRPr="002B6D76" w:rsidRDefault="00CA486A" w:rsidP="00CA486A">
            <w:pPr>
              <w:pStyle w:val="BodyText"/>
              <w:spacing w:after="0" w:line="200" w:lineRule="atLeast"/>
              <w:contextualSpacing/>
              <w:jc w:val="center"/>
              <w:rPr>
                <w:sz w:val="20"/>
                <w:lang w:eastAsia="ko-KR"/>
              </w:rPr>
            </w:pPr>
            <w:r w:rsidRPr="002B6D76">
              <w:rPr>
                <w:rFonts w:hint="eastAsia"/>
                <w:sz w:val="20"/>
                <w:lang w:eastAsia="ko-KR"/>
              </w:rPr>
              <w:t xml:space="preserve">5.3 </w:t>
            </w:r>
          </w:p>
        </w:tc>
      </w:tr>
    </w:tbl>
    <w:p w:rsidR="007974F2" w:rsidRDefault="007974F2" w:rsidP="0096575B">
      <w:pPr>
        <w:pStyle w:val="BodyText"/>
        <w:rPr>
          <w:lang w:eastAsia="ko-KR"/>
        </w:rPr>
      </w:pPr>
    </w:p>
    <w:p w:rsidR="003322A2" w:rsidRDefault="00AD0A80" w:rsidP="001D5864">
      <w:pPr>
        <w:pStyle w:val="BodyText"/>
        <w:rPr>
          <w:lang w:eastAsia="ko-KR"/>
        </w:rPr>
      </w:pPr>
      <w:r w:rsidRPr="00AD0A80">
        <w:rPr>
          <w:lang w:eastAsia="ko-KR"/>
        </w:rPr>
        <w:t>When the differential modulation scheme is applied,</w:t>
      </w:r>
      <w:r w:rsidR="000C0EA2">
        <w:rPr>
          <w:lang w:eastAsia="ko-KR"/>
        </w:rPr>
        <w:t xml:space="preserve"> the performance in the required SNR is degraded by about </w:t>
      </w:r>
      <w:r w:rsidR="000C0EA2" w:rsidRPr="00AD0A80">
        <w:rPr>
          <w:lang w:eastAsia="ko-KR"/>
        </w:rPr>
        <w:t xml:space="preserve">2.9 ~ 5.3dB </w:t>
      </w:r>
      <w:r w:rsidR="000C0EA2">
        <w:rPr>
          <w:lang w:eastAsia="ko-KR"/>
        </w:rPr>
        <w:t>in comparison with coherent ideal sync method.</w:t>
      </w:r>
      <w:r w:rsidRPr="00AD0A80">
        <w:rPr>
          <w:lang w:eastAsia="ko-KR"/>
        </w:rPr>
        <w:t xml:space="preserve"> However, </w:t>
      </w:r>
      <w:r w:rsidR="0030049A">
        <w:rPr>
          <w:lang w:eastAsia="ko-KR"/>
        </w:rPr>
        <w:t>it is</w:t>
      </w:r>
      <w:r w:rsidRPr="00AD0A80">
        <w:rPr>
          <w:lang w:eastAsia="ko-KR"/>
        </w:rPr>
        <w:t xml:space="preserve"> </w:t>
      </w:r>
      <w:r w:rsidR="00473B82">
        <w:rPr>
          <w:lang w:eastAsia="ko-KR"/>
        </w:rPr>
        <w:t xml:space="preserve">checked </w:t>
      </w:r>
      <w:r w:rsidRPr="00AD0A80">
        <w:rPr>
          <w:lang w:eastAsia="ko-KR"/>
        </w:rPr>
        <w:t xml:space="preserve">that QPSK and </w:t>
      </w:r>
      <w:r w:rsidRPr="00AD0A80">
        <w:rPr>
          <w:lang w:eastAsia="ko-KR"/>
        </w:rPr>
        <w:lastRenderedPageBreak/>
        <w:t>8PSK can</w:t>
      </w:r>
      <w:r w:rsidR="0030049A">
        <w:rPr>
          <w:lang w:eastAsia="ko-KR"/>
        </w:rPr>
        <w:t xml:space="preserve"> have</w:t>
      </w:r>
      <w:r w:rsidRPr="00AD0A80">
        <w:rPr>
          <w:lang w:eastAsia="ko-KR"/>
        </w:rPr>
        <w:t xml:space="preserve"> better performa</w:t>
      </w:r>
      <w:r w:rsidR="0030049A">
        <w:rPr>
          <w:lang w:eastAsia="ko-KR"/>
        </w:rPr>
        <w:t>nce than applying a general CR for</w:t>
      </w:r>
      <w:r w:rsidRPr="00AD0A80">
        <w:rPr>
          <w:lang w:eastAsia="ko-KR"/>
        </w:rPr>
        <w:t xml:space="preserve"> the receiver </w:t>
      </w:r>
      <w:r w:rsidR="00BC208D">
        <w:rPr>
          <w:lang w:eastAsia="ko-KR"/>
        </w:rPr>
        <w:t>in accordance with</w:t>
      </w:r>
      <w:r w:rsidR="00BC208D" w:rsidRPr="00AD0A80">
        <w:rPr>
          <w:lang w:eastAsia="ko-KR"/>
        </w:rPr>
        <w:t xml:space="preserve"> </w:t>
      </w:r>
      <w:r w:rsidR="0030049A">
        <w:rPr>
          <w:lang w:eastAsia="ko-KR"/>
        </w:rPr>
        <w:t>IALA G1139</w:t>
      </w:r>
      <w:r w:rsidRPr="00AD0A80">
        <w:rPr>
          <w:lang w:eastAsia="ko-KR"/>
        </w:rPr>
        <w:t xml:space="preserve"> </w:t>
      </w:r>
      <w:r w:rsidR="00473B82">
        <w:rPr>
          <w:lang w:eastAsia="ko-KR"/>
        </w:rPr>
        <w:t xml:space="preserve">Ed.1 </w:t>
      </w:r>
      <w:r w:rsidRPr="00AD0A80">
        <w:rPr>
          <w:lang w:eastAsia="ko-KR"/>
        </w:rPr>
        <w:t>under the same receiving conditions.</w:t>
      </w:r>
    </w:p>
    <w:p w:rsidR="00431FC1" w:rsidRPr="002124A9" w:rsidRDefault="00431FC1" w:rsidP="001D5864">
      <w:pPr>
        <w:pStyle w:val="BodyText"/>
        <w:rPr>
          <w:lang w:eastAsia="ko-KR"/>
        </w:rPr>
      </w:pPr>
    </w:p>
    <w:p w:rsidR="0072047F" w:rsidRDefault="00B33D66" w:rsidP="0072047F">
      <w:pPr>
        <w:pStyle w:val="Heading1"/>
        <w:numPr>
          <w:ilvl w:val="0"/>
          <w:numId w:val="14"/>
        </w:numPr>
        <w:jc w:val="both"/>
      </w:pPr>
      <w:r>
        <w:rPr>
          <w:rFonts w:hint="eastAsia"/>
          <w:lang w:eastAsia="ko-KR"/>
        </w:rPr>
        <w:t>Conclusion</w:t>
      </w:r>
    </w:p>
    <w:p w:rsidR="00AD0A80" w:rsidRDefault="00AD0A80" w:rsidP="00D21F8D">
      <w:pPr>
        <w:pStyle w:val="BodyText"/>
        <w:rPr>
          <w:lang w:val="en-US" w:eastAsia="ko-KR"/>
        </w:rPr>
      </w:pPr>
      <w:r w:rsidRPr="00AD0A80">
        <w:rPr>
          <w:lang w:val="en-US" w:eastAsia="ko-KR"/>
        </w:rPr>
        <w:t xml:space="preserve">In this </w:t>
      </w:r>
      <w:r w:rsidR="0030049A">
        <w:rPr>
          <w:lang w:val="en-US" w:eastAsia="ko-KR"/>
        </w:rPr>
        <w:t>paper</w:t>
      </w:r>
      <w:r w:rsidRPr="00AD0A80">
        <w:rPr>
          <w:lang w:val="en-US" w:eastAsia="ko-KR"/>
        </w:rPr>
        <w:t xml:space="preserve">, </w:t>
      </w:r>
      <w:r w:rsidR="0030049A">
        <w:rPr>
          <w:lang w:val="en-US" w:eastAsia="ko-KR"/>
        </w:rPr>
        <w:t>it is</w:t>
      </w:r>
      <w:r w:rsidRPr="00AD0A80">
        <w:rPr>
          <w:lang w:val="en-US" w:eastAsia="ko-KR"/>
        </w:rPr>
        <w:t xml:space="preserve"> </w:t>
      </w:r>
      <w:r w:rsidR="00473B82">
        <w:rPr>
          <w:lang w:val="en-US" w:eastAsia="ko-KR"/>
        </w:rPr>
        <w:t>verified</w:t>
      </w:r>
      <w:r w:rsidR="006C68DD">
        <w:rPr>
          <w:lang w:val="en-US" w:eastAsia="ko-KR"/>
        </w:rPr>
        <w:t xml:space="preserve"> </w:t>
      </w:r>
      <w:r w:rsidR="0030049A">
        <w:rPr>
          <w:lang w:val="en-US" w:eastAsia="ko-KR"/>
        </w:rPr>
        <w:t xml:space="preserve">that </w:t>
      </w:r>
      <w:r w:rsidRPr="00AD0A80">
        <w:rPr>
          <w:lang w:val="en-US" w:eastAsia="ko-KR"/>
        </w:rPr>
        <w:t>the d</w:t>
      </w:r>
      <w:r w:rsidR="0030049A">
        <w:rPr>
          <w:lang w:val="en-US" w:eastAsia="ko-KR"/>
        </w:rPr>
        <w:t xml:space="preserve">egradation </w:t>
      </w:r>
      <w:r w:rsidRPr="00AD0A80">
        <w:rPr>
          <w:lang w:val="en-US" w:eastAsia="ko-KR"/>
        </w:rPr>
        <w:t xml:space="preserve">of BER performance during </w:t>
      </w:r>
      <w:r w:rsidR="006C68DD">
        <w:rPr>
          <w:lang w:val="en-US" w:eastAsia="ko-KR"/>
        </w:rPr>
        <w:t xml:space="preserve">processing </w:t>
      </w:r>
      <w:r w:rsidRPr="00AD0A80">
        <w:rPr>
          <w:lang w:val="en-US" w:eastAsia="ko-KR"/>
        </w:rPr>
        <w:t xml:space="preserve">frequency offset </w:t>
      </w:r>
      <w:r w:rsidR="006C68DD">
        <w:rPr>
          <w:lang w:val="en-US" w:eastAsia="ko-KR"/>
        </w:rPr>
        <w:t xml:space="preserve">is happen </w:t>
      </w:r>
      <w:r w:rsidRPr="00AD0A80">
        <w:rPr>
          <w:lang w:val="en-US" w:eastAsia="ko-KR"/>
        </w:rPr>
        <w:t xml:space="preserve">due to </w:t>
      </w:r>
      <w:r w:rsidR="006C68DD">
        <w:rPr>
          <w:lang w:val="en-US" w:eastAsia="ko-KR"/>
        </w:rPr>
        <w:t xml:space="preserve">the </w:t>
      </w:r>
      <w:r w:rsidRPr="00AD0A80">
        <w:rPr>
          <w:lang w:val="en-US" w:eastAsia="ko-KR"/>
        </w:rPr>
        <w:t xml:space="preserve">lack of </w:t>
      </w:r>
      <w:r w:rsidR="006C68DD">
        <w:rPr>
          <w:lang w:val="en-US" w:eastAsia="ko-KR"/>
        </w:rPr>
        <w:t xml:space="preserve">number of </w:t>
      </w:r>
      <w:r w:rsidRPr="00AD0A80">
        <w:rPr>
          <w:lang w:val="en-US" w:eastAsia="ko-KR"/>
        </w:rPr>
        <w:t xml:space="preserve">training symbols when the physical layer </w:t>
      </w:r>
      <w:r w:rsidR="006C68DD">
        <w:rPr>
          <w:lang w:val="en-US" w:eastAsia="ko-KR"/>
        </w:rPr>
        <w:t xml:space="preserve">of receiver is implemented according to </w:t>
      </w:r>
      <w:r w:rsidRPr="00AD0A80">
        <w:rPr>
          <w:lang w:val="en-US" w:eastAsia="ko-KR"/>
        </w:rPr>
        <w:t>the system parameters defined in IALA G1139</w:t>
      </w:r>
      <w:r w:rsidR="00E60A2F">
        <w:rPr>
          <w:lang w:val="en-US" w:eastAsia="ko-KR"/>
        </w:rPr>
        <w:t xml:space="preserve"> Ed.1</w:t>
      </w:r>
      <w:r w:rsidR="006C68DD">
        <w:rPr>
          <w:lang w:val="en-US" w:eastAsia="ko-KR"/>
        </w:rPr>
        <w:t>. As the</w:t>
      </w:r>
      <w:r w:rsidRPr="00AD0A80">
        <w:rPr>
          <w:lang w:val="en-US" w:eastAsia="ko-KR"/>
        </w:rPr>
        <w:t xml:space="preserve"> result of </w:t>
      </w:r>
      <w:r w:rsidR="00907F6A">
        <w:rPr>
          <w:rFonts w:hint="eastAsia"/>
          <w:lang w:val="en-US" w:eastAsia="ko-KR"/>
        </w:rPr>
        <w:t>simulation</w:t>
      </w:r>
      <w:r w:rsidRPr="00AD0A80">
        <w:rPr>
          <w:lang w:val="en-US" w:eastAsia="ko-KR"/>
        </w:rPr>
        <w:t xml:space="preserve">, BER performance </w:t>
      </w:r>
      <w:r w:rsidR="00C45BBD">
        <w:rPr>
          <w:rFonts w:hint="eastAsia"/>
          <w:lang w:val="en-US" w:eastAsia="ko-KR"/>
        </w:rPr>
        <w:t xml:space="preserve">with LCID </w:t>
      </w:r>
      <w:r w:rsidRPr="00AD0A80">
        <w:rPr>
          <w:lang w:val="en-US" w:eastAsia="ko-KR"/>
        </w:rPr>
        <w:t xml:space="preserve">was </w:t>
      </w:r>
      <w:r w:rsidR="004269D3">
        <w:rPr>
          <w:lang w:val="en-US" w:eastAsia="ko-KR"/>
        </w:rPr>
        <w:t xml:space="preserve">founded </w:t>
      </w:r>
      <w:r w:rsidRPr="00AD0A80">
        <w:rPr>
          <w:lang w:val="en-US" w:eastAsia="ko-KR"/>
        </w:rPr>
        <w:t>de</w:t>
      </w:r>
      <w:r w:rsidR="006C68DD">
        <w:rPr>
          <w:lang w:val="en-US" w:eastAsia="ko-KR"/>
        </w:rPr>
        <w:t xml:space="preserve">graded </w:t>
      </w:r>
      <w:r w:rsidRPr="00AD0A80">
        <w:rPr>
          <w:lang w:val="en-US" w:eastAsia="ko-KR"/>
        </w:rPr>
        <w:t xml:space="preserve">by about 3.5dB ~ 8.9dB when applying </w:t>
      </w:r>
      <w:r w:rsidR="006C68DD">
        <w:rPr>
          <w:lang w:val="en-US" w:eastAsia="ko-KR"/>
        </w:rPr>
        <w:t xml:space="preserve">the </w:t>
      </w:r>
      <w:r w:rsidRPr="00AD0A80">
        <w:rPr>
          <w:lang w:val="en-US" w:eastAsia="ko-KR"/>
        </w:rPr>
        <w:t xml:space="preserve">general </w:t>
      </w:r>
      <w:r w:rsidR="00907F6A">
        <w:rPr>
          <w:rFonts w:hint="eastAsia"/>
          <w:lang w:val="en-US" w:eastAsia="ko-KR"/>
        </w:rPr>
        <w:t xml:space="preserve">carrier </w:t>
      </w:r>
      <w:r w:rsidRPr="00AD0A80">
        <w:rPr>
          <w:lang w:val="en-US" w:eastAsia="ko-KR"/>
        </w:rPr>
        <w:t xml:space="preserve">frequency </w:t>
      </w:r>
      <w:r w:rsidR="00907F6A">
        <w:rPr>
          <w:rFonts w:hint="eastAsia"/>
          <w:lang w:val="en-US" w:eastAsia="ko-KR"/>
        </w:rPr>
        <w:t>recovery</w:t>
      </w:r>
      <w:r w:rsidR="00907F6A" w:rsidRPr="00AD0A80">
        <w:rPr>
          <w:lang w:val="en-US" w:eastAsia="ko-KR"/>
        </w:rPr>
        <w:t xml:space="preserve"> </w:t>
      </w:r>
      <w:r w:rsidRPr="00AD0A80">
        <w:rPr>
          <w:lang w:val="en-US" w:eastAsia="ko-KR"/>
        </w:rPr>
        <w:t>a</w:t>
      </w:r>
      <w:r w:rsidR="006C68DD">
        <w:rPr>
          <w:lang w:val="en-US" w:eastAsia="ko-KR"/>
        </w:rPr>
        <w:t>lgorithm according to IALA G1139</w:t>
      </w:r>
      <w:r w:rsidR="00E60A2F">
        <w:rPr>
          <w:lang w:val="en-US" w:eastAsia="ko-KR"/>
        </w:rPr>
        <w:t xml:space="preserve"> Ed.1</w:t>
      </w:r>
      <w:r w:rsidRPr="00AD0A80">
        <w:rPr>
          <w:lang w:val="en-US" w:eastAsia="ko-KR"/>
        </w:rPr>
        <w:t xml:space="preserve">. </w:t>
      </w:r>
      <w:r w:rsidR="004269D3">
        <w:rPr>
          <w:lang w:val="en-US" w:eastAsia="ko-KR"/>
        </w:rPr>
        <w:t xml:space="preserve">When </w:t>
      </w:r>
      <w:r w:rsidRPr="00AD0A80">
        <w:rPr>
          <w:lang w:val="en-US" w:eastAsia="ko-KR"/>
        </w:rPr>
        <w:t>training symbol</w:t>
      </w:r>
      <w:r w:rsidR="004269D3">
        <w:rPr>
          <w:lang w:val="en-US" w:eastAsia="ko-KR"/>
        </w:rPr>
        <w:t>s is increased</w:t>
      </w:r>
      <w:r w:rsidR="00D07525">
        <w:rPr>
          <w:rFonts w:hint="eastAsia"/>
          <w:lang w:val="en-US" w:eastAsia="ko-KR"/>
        </w:rPr>
        <w:t xml:space="preserve"> </w:t>
      </w:r>
      <w:r w:rsidR="00D07525">
        <w:rPr>
          <w:lang w:val="en-US" w:eastAsia="ko-KR"/>
        </w:rPr>
        <w:t>accepting the</w:t>
      </w:r>
      <w:r w:rsidR="004269D3">
        <w:rPr>
          <w:lang w:val="en-US" w:eastAsia="ko-KR"/>
        </w:rPr>
        <w:t xml:space="preserve"> </w:t>
      </w:r>
      <w:r w:rsidR="00D07525">
        <w:rPr>
          <w:lang w:val="en-US" w:eastAsia="ko-KR"/>
        </w:rPr>
        <w:t xml:space="preserve">decrease of </w:t>
      </w:r>
      <w:r w:rsidRPr="00AD0A80">
        <w:rPr>
          <w:lang w:val="en-US" w:eastAsia="ko-KR"/>
        </w:rPr>
        <w:t>data rate</w:t>
      </w:r>
      <w:r w:rsidR="00473B82">
        <w:rPr>
          <w:lang w:val="en-US" w:eastAsia="ko-KR"/>
        </w:rPr>
        <w:t>, it is identified</w:t>
      </w:r>
      <w:r w:rsidR="00D07525">
        <w:rPr>
          <w:lang w:val="en-US" w:eastAsia="ko-KR"/>
        </w:rPr>
        <w:t xml:space="preserve"> that at least</w:t>
      </w:r>
      <w:r w:rsidRPr="00AD0A80">
        <w:rPr>
          <w:lang w:val="en-US" w:eastAsia="ko-KR"/>
        </w:rPr>
        <w:t xml:space="preserve"> </w:t>
      </w:r>
      <w:r w:rsidR="00D07525">
        <w:rPr>
          <w:lang w:val="en-US" w:eastAsia="ko-KR"/>
        </w:rPr>
        <w:t xml:space="preserve">about </w:t>
      </w:r>
      <w:r w:rsidRPr="00AD0A80">
        <w:rPr>
          <w:lang w:val="en-US" w:eastAsia="ko-KR"/>
        </w:rPr>
        <w:t xml:space="preserve">170 training symbols should be used </w:t>
      </w:r>
      <w:r w:rsidR="00D07525">
        <w:rPr>
          <w:lang w:val="en-US" w:eastAsia="ko-KR"/>
        </w:rPr>
        <w:t xml:space="preserve">in order that </w:t>
      </w:r>
      <w:r w:rsidRPr="00AD0A80">
        <w:rPr>
          <w:lang w:val="en-US" w:eastAsia="ko-KR"/>
        </w:rPr>
        <w:t xml:space="preserve">the implementation margin can be realized within 1.5dB. In addition, </w:t>
      </w:r>
      <w:r w:rsidR="00473B82">
        <w:rPr>
          <w:lang w:val="en-US" w:eastAsia="ko-KR"/>
        </w:rPr>
        <w:t xml:space="preserve">differential modulation method </w:t>
      </w:r>
      <w:r w:rsidR="008211BE">
        <w:rPr>
          <w:lang w:val="en-US" w:eastAsia="ko-KR"/>
        </w:rPr>
        <w:t>could</w:t>
      </w:r>
      <w:r w:rsidR="00473B82">
        <w:rPr>
          <w:lang w:val="en-US" w:eastAsia="ko-KR"/>
        </w:rPr>
        <w:t xml:space="preserve"> be applied </w:t>
      </w:r>
      <w:r w:rsidRPr="00AD0A80">
        <w:rPr>
          <w:lang w:val="en-US" w:eastAsia="ko-KR"/>
        </w:rPr>
        <w:t xml:space="preserve">within the performance degradation range of 2.9 ~ 5.3dB while </w:t>
      </w:r>
      <w:r w:rsidR="008211BE">
        <w:rPr>
          <w:lang w:val="en-US" w:eastAsia="ko-KR"/>
        </w:rPr>
        <w:t>keeping</w:t>
      </w:r>
      <w:r w:rsidRPr="00AD0A80">
        <w:rPr>
          <w:lang w:val="en-US" w:eastAsia="ko-KR"/>
        </w:rPr>
        <w:t xml:space="preserve"> the data rate.</w:t>
      </w:r>
    </w:p>
    <w:p w:rsidR="00D21F8D" w:rsidRPr="00AD0A80" w:rsidRDefault="00CF14B4" w:rsidP="00EB464B">
      <w:pPr>
        <w:pStyle w:val="BodyText"/>
        <w:rPr>
          <w:lang w:val="en-US" w:eastAsia="ko-KR"/>
        </w:rPr>
      </w:pPr>
      <w:r>
        <w:rPr>
          <w:lang w:val="en-US" w:eastAsia="ko-KR"/>
        </w:rPr>
        <w:t xml:space="preserve">In conclusion, </w:t>
      </w:r>
      <w:r w:rsidR="00A41C76">
        <w:rPr>
          <w:lang w:val="en-US" w:eastAsia="ko-KR"/>
        </w:rPr>
        <w:t xml:space="preserve">the problem on degradation caused by short </w:t>
      </w:r>
      <w:proofErr w:type="spellStart"/>
      <w:r w:rsidR="00A41C76">
        <w:rPr>
          <w:lang w:val="en-US" w:eastAsia="ko-KR"/>
        </w:rPr>
        <w:t>syncword</w:t>
      </w:r>
      <w:proofErr w:type="spellEnd"/>
      <w:r w:rsidR="00A41C76">
        <w:rPr>
          <w:lang w:val="en-US" w:eastAsia="ko-KR"/>
        </w:rPr>
        <w:t xml:space="preserve"> length in IALA G1139 Ed.1 should be discussed in IALA ENAV 22 and </w:t>
      </w:r>
      <w:r w:rsidR="00AD0A80" w:rsidRPr="00AD0A80">
        <w:rPr>
          <w:lang w:val="en-US" w:eastAsia="ko-KR"/>
        </w:rPr>
        <w:t xml:space="preserve">the </w:t>
      </w:r>
      <w:r w:rsidR="00A41C76">
        <w:rPr>
          <w:lang w:val="en-US" w:eastAsia="ko-KR"/>
        </w:rPr>
        <w:t xml:space="preserve">most </w:t>
      </w:r>
      <w:r w:rsidR="00EB464B">
        <w:rPr>
          <w:lang w:val="en-US" w:eastAsia="ko-KR"/>
        </w:rPr>
        <w:t>suitable</w:t>
      </w:r>
      <w:r w:rsidR="00A41C76">
        <w:rPr>
          <w:lang w:val="en-US" w:eastAsia="ko-KR"/>
        </w:rPr>
        <w:t xml:space="preserve"> </w:t>
      </w:r>
      <w:r w:rsidR="00AD0A80" w:rsidRPr="00AD0A80">
        <w:rPr>
          <w:lang w:val="en-US" w:eastAsia="ko-KR"/>
        </w:rPr>
        <w:t xml:space="preserve">method </w:t>
      </w:r>
      <w:r w:rsidR="004F061F">
        <w:rPr>
          <w:lang w:val="en-US" w:eastAsia="ko-KR"/>
        </w:rPr>
        <w:t xml:space="preserve">to </w:t>
      </w:r>
      <w:r w:rsidR="00EB464B">
        <w:rPr>
          <w:lang w:val="en-US" w:eastAsia="ko-KR"/>
        </w:rPr>
        <w:t>solve this issue</w:t>
      </w:r>
      <w:r w:rsidR="00AD0A80" w:rsidRPr="00AD0A80">
        <w:rPr>
          <w:lang w:val="en-US" w:eastAsia="ko-KR"/>
        </w:rPr>
        <w:t xml:space="preserve"> </w:t>
      </w:r>
      <w:r w:rsidR="00EB464B">
        <w:rPr>
          <w:lang w:val="en-US" w:eastAsia="ko-KR"/>
        </w:rPr>
        <w:t>should be reviewed and reflected in IALA G1139 as appropriately.</w:t>
      </w:r>
    </w:p>
    <w:p w:rsidR="007E5172" w:rsidRPr="00702FD9" w:rsidRDefault="007E5172" w:rsidP="00964831">
      <w:pPr>
        <w:pStyle w:val="BodyText"/>
        <w:rPr>
          <w:b/>
          <w:caps/>
          <w:color w:val="0070C0"/>
          <w:kern w:val="28"/>
          <w:sz w:val="24"/>
          <w:lang w:val="en-US" w:eastAsia="ko-KR"/>
        </w:rPr>
      </w:pPr>
    </w:p>
    <w:p w:rsidR="007F3553" w:rsidRPr="007A395D" w:rsidRDefault="007F3553" w:rsidP="007F3553">
      <w:pPr>
        <w:pStyle w:val="Heading1"/>
        <w:numPr>
          <w:ilvl w:val="0"/>
          <w:numId w:val="14"/>
        </w:numPr>
        <w:jc w:val="both"/>
      </w:pPr>
      <w:r w:rsidRPr="007A395D">
        <w:t>References</w:t>
      </w:r>
    </w:p>
    <w:p w:rsidR="001368C8" w:rsidRDefault="001368C8" w:rsidP="001D5864">
      <w:pPr>
        <w:pStyle w:val="References"/>
      </w:pPr>
      <w:r w:rsidRPr="001773FF">
        <w:t>IALA Guideline G1139, The Technical Specification of VDES, Working Draft, 20180117 - ESTEC Intersessional, Edition 1.0</w:t>
      </w:r>
    </w:p>
    <w:p w:rsidR="00400F77" w:rsidRPr="00D616C4" w:rsidRDefault="00400F77" w:rsidP="001D5864">
      <w:pPr>
        <w:pStyle w:val="References"/>
        <w:numPr>
          <w:ilvl w:val="0"/>
          <w:numId w:val="0"/>
        </w:numPr>
        <w:ind w:left="567"/>
        <w:jc w:val="both"/>
        <w:rPr>
          <w:lang w:eastAsia="ko-KR"/>
        </w:rPr>
      </w:pPr>
    </w:p>
    <w:p w:rsidR="007F3553" w:rsidRPr="007A395D" w:rsidRDefault="007F3553" w:rsidP="007F3553">
      <w:pPr>
        <w:pStyle w:val="Heading1"/>
        <w:numPr>
          <w:ilvl w:val="0"/>
          <w:numId w:val="14"/>
        </w:numPr>
        <w:jc w:val="both"/>
      </w:pPr>
      <w:r w:rsidRPr="007A395D">
        <w:t>Action requested of the Committee</w:t>
      </w:r>
    </w:p>
    <w:p w:rsidR="004D1D85" w:rsidRDefault="007C1E71" w:rsidP="007C1E71">
      <w:pPr>
        <w:pStyle w:val="BodyText"/>
        <w:rPr>
          <w:lang w:eastAsia="ko-KR"/>
        </w:rPr>
      </w:pPr>
      <w:r w:rsidRPr="007A395D">
        <w:t>The Committee is requested to</w:t>
      </w:r>
      <w:r>
        <w:t xml:space="preserve"> note the information and take appropriate action.</w:t>
      </w:r>
    </w:p>
    <w:p w:rsidR="00BE3D7C" w:rsidRPr="00BE3D7C" w:rsidRDefault="00BE3D7C" w:rsidP="007C1E71">
      <w:pPr>
        <w:pStyle w:val="BodyText"/>
        <w:rPr>
          <w:lang w:eastAsia="ko-KR"/>
        </w:rPr>
      </w:pPr>
    </w:p>
    <w:sectPr w:rsidR="00BE3D7C" w:rsidRPr="00BE3D7C" w:rsidSect="00A66484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F8" w:rsidRDefault="00A90EF8" w:rsidP="00362CD9">
      <w:r>
        <w:separator/>
      </w:r>
    </w:p>
  </w:endnote>
  <w:endnote w:type="continuationSeparator" w:id="0">
    <w:p w:rsidR="00A90EF8" w:rsidRDefault="00A90EF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2" w:rsidRPr="00036B9E" w:rsidRDefault="00473B82">
    <w:pPr>
      <w:pStyle w:val="Footer"/>
      <w:rPr>
        <w:rFonts w:ascii="Calibri" w:hAnsi="Calibri"/>
      </w:rPr>
    </w:pPr>
    <w:r w:rsidRPr="00A66484">
      <w:rPr>
        <w:rFonts w:ascii="Calibri" w:hAnsi="Calibri"/>
        <w:sz w:val="20"/>
        <w:szCs w:val="20"/>
      </w:rPr>
      <w:t>Maritime Cloud – Conceptual Model</w:t>
    </w:r>
    <w:r w:rsidRPr="00036B9E">
      <w:rPr>
        <w:rFonts w:ascii="Calibri" w:hAnsi="Calibri"/>
      </w:rPr>
      <w:tab/>
    </w:r>
    <w:r w:rsidR="00542DA4"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="00542DA4" w:rsidRPr="00036B9E">
      <w:rPr>
        <w:rFonts w:ascii="Calibri" w:hAnsi="Calibri"/>
      </w:rPr>
      <w:fldChar w:fldCharType="separate"/>
    </w:r>
    <w:r w:rsidR="000133D2">
      <w:rPr>
        <w:rFonts w:ascii="Calibri" w:hAnsi="Calibri"/>
        <w:noProof/>
      </w:rPr>
      <w:t>2</w:t>
    </w:r>
    <w:r w:rsidR="00542DA4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F8" w:rsidRDefault="00A90EF8" w:rsidP="00362CD9">
      <w:r>
        <w:separator/>
      </w:r>
    </w:p>
  </w:footnote>
  <w:footnote w:type="continuationSeparator" w:id="0">
    <w:p w:rsidR="00A90EF8" w:rsidRDefault="00A90EF8" w:rsidP="00362CD9">
      <w:r>
        <w:continuationSeparator/>
      </w:r>
    </w:p>
  </w:footnote>
  <w:footnote w:id="1">
    <w:p w:rsidR="00473B82" w:rsidRPr="00EA5A97" w:rsidRDefault="00473B82" w:rsidP="007F355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t>Input document number, to be assigned by the Committee Secretary</w:t>
      </w:r>
    </w:p>
  </w:footnote>
  <w:footnote w:id="2">
    <w:p w:rsidR="00473B82" w:rsidRPr="00037DF4" w:rsidRDefault="00473B82" w:rsidP="007F355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2" w:rsidRDefault="000133D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2" w:rsidRDefault="00473B82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33D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2" w:rsidRDefault="00473B82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3B82" w:rsidRDefault="00473B82" w:rsidP="007A395D">
    <w:pPr>
      <w:pStyle w:val="Header"/>
      <w:jc w:val="center"/>
    </w:pPr>
  </w:p>
  <w:p w:rsidR="00473B82" w:rsidRDefault="000133D2" w:rsidP="007A395D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144BAB"/>
    <w:multiLevelType w:val="hybridMultilevel"/>
    <w:tmpl w:val="FB267896"/>
    <w:lvl w:ilvl="0" w:tplc="FEF0F5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9C37E91"/>
    <w:multiLevelType w:val="multilevel"/>
    <w:tmpl w:val="B5E6C8CA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color w:val="0070C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58F1568C"/>
    <w:multiLevelType w:val="hybridMultilevel"/>
    <w:tmpl w:val="E6B08452"/>
    <w:lvl w:ilvl="0" w:tplc="3E54A7F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F1D12"/>
    <w:multiLevelType w:val="hybridMultilevel"/>
    <w:tmpl w:val="875C4464"/>
    <w:lvl w:ilvl="0" w:tplc="C944B62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4"/>
  </w:num>
  <w:num w:numId="5">
    <w:abstractNumId w:val="16"/>
  </w:num>
  <w:num w:numId="6">
    <w:abstractNumId w:val="4"/>
  </w:num>
  <w:num w:numId="7">
    <w:abstractNumId w:val="26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5"/>
  </w:num>
  <w:num w:numId="14">
    <w:abstractNumId w:val="6"/>
  </w:num>
  <w:num w:numId="15">
    <w:abstractNumId w:val="27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3"/>
  </w:num>
  <w:num w:numId="46">
    <w:abstractNumId w:val="22"/>
  </w:num>
  <w:num w:numId="4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0760F"/>
    <w:rsid w:val="00010878"/>
    <w:rsid w:val="000110E3"/>
    <w:rsid w:val="000133D2"/>
    <w:rsid w:val="00015786"/>
    <w:rsid w:val="00017D55"/>
    <w:rsid w:val="00020808"/>
    <w:rsid w:val="00020C80"/>
    <w:rsid w:val="0003120A"/>
    <w:rsid w:val="0003646C"/>
    <w:rsid w:val="00036B9E"/>
    <w:rsid w:val="00037DF4"/>
    <w:rsid w:val="00046121"/>
    <w:rsid w:val="0004700E"/>
    <w:rsid w:val="00057EC9"/>
    <w:rsid w:val="00060243"/>
    <w:rsid w:val="00066DB0"/>
    <w:rsid w:val="00070C13"/>
    <w:rsid w:val="000715C9"/>
    <w:rsid w:val="00075A87"/>
    <w:rsid w:val="00082CD2"/>
    <w:rsid w:val="00084F33"/>
    <w:rsid w:val="0009639F"/>
    <w:rsid w:val="0009697E"/>
    <w:rsid w:val="000A16A3"/>
    <w:rsid w:val="000A5D1C"/>
    <w:rsid w:val="000A77A7"/>
    <w:rsid w:val="000B1707"/>
    <w:rsid w:val="000B4AEB"/>
    <w:rsid w:val="000C0EA2"/>
    <w:rsid w:val="000C1B3E"/>
    <w:rsid w:val="000C26E3"/>
    <w:rsid w:val="000D17FE"/>
    <w:rsid w:val="000D2932"/>
    <w:rsid w:val="000D5AB3"/>
    <w:rsid w:val="000D612E"/>
    <w:rsid w:val="000F0B8E"/>
    <w:rsid w:val="00110AE7"/>
    <w:rsid w:val="00112BD1"/>
    <w:rsid w:val="001157AD"/>
    <w:rsid w:val="00122DD8"/>
    <w:rsid w:val="001273B1"/>
    <w:rsid w:val="001366C1"/>
    <w:rsid w:val="001368C8"/>
    <w:rsid w:val="001444BB"/>
    <w:rsid w:val="00147DE0"/>
    <w:rsid w:val="001541BE"/>
    <w:rsid w:val="0016280A"/>
    <w:rsid w:val="00173FBA"/>
    <w:rsid w:val="00174FBD"/>
    <w:rsid w:val="001773FF"/>
    <w:rsid w:val="00177F4D"/>
    <w:rsid w:val="00180DDA"/>
    <w:rsid w:val="00181A6F"/>
    <w:rsid w:val="00181D4B"/>
    <w:rsid w:val="00187C0C"/>
    <w:rsid w:val="00197C72"/>
    <w:rsid w:val="001A5FA1"/>
    <w:rsid w:val="001B2A2D"/>
    <w:rsid w:val="001B4717"/>
    <w:rsid w:val="001B737D"/>
    <w:rsid w:val="001C3211"/>
    <w:rsid w:val="001C44A3"/>
    <w:rsid w:val="001C580C"/>
    <w:rsid w:val="001D1805"/>
    <w:rsid w:val="001D4587"/>
    <w:rsid w:val="001D5864"/>
    <w:rsid w:val="001E0E15"/>
    <w:rsid w:val="001E5D8F"/>
    <w:rsid w:val="001E5E09"/>
    <w:rsid w:val="001E7500"/>
    <w:rsid w:val="001F0659"/>
    <w:rsid w:val="001F2C7E"/>
    <w:rsid w:val="001F3A55"/>
    <w:rsid w:val="001F528A"/>
    <w:rsid w:val="001F704E"/>
    <w:rsid w:val="001F7AA1"/>
    <w:rsid w:val="00200B60"/>
    <w:rsid w:val="00201722"/>
    <w:rsid w:val="00202149"/>
    <w:rsid w:val="00204694"/>
    <w:rsid w:val="00206887"/>
    <w:rsid w:val="00206B01"/>
    <w:rsid w:val="002124A9"/>
    <w:rsid w:val="002125B0"/>
    <w:rsid w:val="00223D8A"/>
    <w:rsid w:val="002240C1"/>
    <w:rsid w:val="0023035A"/>
    <w:rsid w:val="00232921"/>
    <w:rsid w:val="002332DB"/>
    <w:rsid w:val="00233523"/>
    <w:rsid w:val="00233AD6"/>
    <w:rsid w:val="0023607C"/>
    <w:rsid w:val="002426A4"/>
    <w:rsid w:val="00243228"/>
    <w:rsid w:val="00245BDF"/>
    <w:rsid w:val="00251483"/>
    <w:rsid w:val="002556DE"/>
    <w:rsid w:val="00255CAA"/>
    <w:rsid w:val="00256890"/>
    <w:rsid w:val="002635E9"/>
    <w:rsid w:val="00264305"/>
    <w:rsid w:val="00265E78"/>
    <w:rsid w:val="00273104"/>
    <w:rsid w:val="00275C03"/>
    <w:rsid w:val="0027711D"/>
    <w:rsid w:val="00283884"/>
    <w:rsid w:val="00293357"/>
    <w:rsid w:val="00293D7D"/>
    <w:rsid w:val="002972E7"/>
    <w:rsid w:val="002A0346"/>
    <w:rsid w:val="002A3512"/>
    <w:rsid w:val="002A4487"/>
    <w:rsid w:val="002A7697"/>
    <w:rsid w:val="002B3E7A"/>
    <w:rsid w:val="002B49E9"/>
    <w:rsid w:val="002B6D76"/>
    <w:rsid w:val="002C632E"/>
    <w:rsid w:val="002D22CD"/>
    <w:rsid w:val="002D3E8B"/>
    <w:rsid w:val="002D4575"/>
    <w:rsid w:val="002D5C0C"/>
    <w:rsid w:val="002E03D1"/>
    <w:rsid w:val="002E0C7D"/>
    <w:rsid w:val="002E1537"/>
    <w:rsid w:val="002E6B74"/>
    <w:rsid w:val="002E6FCA"/>
    <w:rsid w:val="002F47A6"/>
    <w:rsid w:val="002F5F0A"/>
    <w:rsid w:val="002F73D4"/>
    <w:rsid w:val="0030049A"/>
    <w:rsid w:val="0030308B"/>
    <w:rsid w:val="0030775A"/>
    <w:rsid w:val="003131B2"/>
    <w:rsid w:val="00321DA2"/>
    <w:rsid w:val="00323ACE"/>
    <w:rsid w:val="0032565E"/>
    <w:rsid w:val="003268D2"/>
    <w:rsid w:val="003322A2"/>
    <w:rsid w:val="0033267A"/>
    <w:rsid w:val="00335209"/>
    <w:rsid w:val="00335F94"/>
    <w:rsid w:val="0034003E"/>
    <w:rsid w:val="003413E8"/>
    <w:rsid w:val="00347942"/>
    <w:rsid w:val="003549CE"/>
    <w:rsid w:val="00356CD0"/>
    <w:rsid w:val="00362CD9"/>
    <w:rsid w:val="00363BA5"/>
    <w:rsid w:val="003644EA"/>
    <w:rsid w:val="0036630C"/>
    <w:rsid w:val="00366691"/>
    <w:rsid w:val="00370074"/>
    <w:rsid w:val="00373C00"/>
    <w:rsid w:val="00373C99"/>
    <w:rsid w:val="003761CA"/>
    <w:rsid w:val="00380DAF"/>
    <w:rsid w:val="00383B35"/>
    <w:rsid w:val="003972CE"/>
    <w:rsid w:val="003A1C04"/>
    <w:rsid w:val="003B1DB7"/>
    <w:rsid w:val="003B25B0"/>
    <w:rsid w:val="003B28F5"/>
    <w:rsid w:val="003B340D"/>
    <w:rsid w:val="003B6D9B"/>
    <w:rsid w:val="003B7B7D"/>
    <w:rsid w:val="003C43D6"/>
    <w:rsid w:val="003C54CB"/>
    <w:rsid w:val="003C5DCA"/>
    <w:rsid w:val="003C7A2A"/>
    <w:rsid w:val="003D2DC1"/>
    <w:rsid w:val="003D577B"/>
    <w:rsid w:val="003D69D0"/>
    <w:rsid w:val="003E0FF4"/>
    <w:rsid w:val="003F2918"/>
    <w:rsid w:val="003F430E"/>
    <w:rsid w:val="003F4CDD"/>
    <w:rsid w:val="003F6656"/>
    <w:rsid w:val="00400F77"/>
    <w:rsid w:val="004041C7"/>
    <w:rsid w:val="00410310"/>
    <w:rsid w:val="0041088C"/>
    <w:rsid w:val="00412EAF"/>
    <w:rsid w:val="004147C7"/>
    <w:rsid w:val="00415EB6"/>
    <w:rsid w:val="0041713B"/>
    <w:rsid w:val="00417E4E"/>
    <w:rsid w:val="00420A38"/>
    <w:rsid w:val="00424F72"/>
    <w:rsid w:val="004252EA"/>
    <w:rsid w:val="004269D3"/>
    <w:rsid w:val="00427E19"/>
    <w:rsid w:val="00431B19"/>
    <w:rsid w:val="00431FC1"/>
    <w:rsid w:val="00442967"/>
    <w:rsid w:val="00450BAD"/>
    <w:rsid w:val="00456BAC"/>
    <w:rsid w:val="00457C85"/>
    <w:rsid w:val="00460A09"/>
    <w:rsid w:val="00461465"/>
    <w:rsid w:val="004661AD"/>
    <w:rsid w:val="00466918"/>
    <w:rsid w:val="00467BE5"/>
    <w:rsid w:val="00473B82"/>
    <w:rsid w:val="0048564E"/>
    <w:rsid w:val="00495B24"/>
    <w:rsid w:val="004A11A1"/>
    <w:rsid w:val="004A3B1A"/>
    <w:rsid w:val="004A7E72"/>
    <w:rsid w:val="004B0B52"/>
    <w:rsid w:val="004B405E"/>
    <w:rsid w:val="004B767A"/>
    <w:rsid w:val="004C1445"/>
    <w:rsid w:val="004C1FD5"/>
    <w:rsid w:val="004C3C39"/>
    <w:rsid w:val="004D1D85"/>
    <w:rsid w:val="004D3C3A"/>
    <w:rsid w:val="004D4638"/>
    <w:rsid w:val="004E1CD1"/>
    <w:rsid w:val="004E33B0"/>
    <w:rsid w:val="004E4CDD"/>
    <w:rsid w:val="004E54B7"/>
    <w:rsid w:val="004F061F"/>
    <w:rsid w:val="0050092B"/>
    <w:rsid w:val="00500A5E"/>
    <w:rsid w:val="005107EB"/>
    <w:rsid w:val="00521345"/>
    <w:rsid w:val="005231F5"/>
    <w:rsid w:val="00526DF0"/>
    <w:rsid w:val="00527B86"/>
    <w:rsid w:val="005301A2"/>
    <w:rsid w:val="0053100E"/>
    <w:rsid w:val="0053532E"/>
    <w:rsid w:val="0054091D"/>
    <w:rsid w:val="00540D5F"/>
    <w:rsid w:val="00542DA4"/>
    <w:rsid w:val="00543831"/>
    <w:rsid w:val="00543B0D"/>
    <w:rsid w:val="00545CC4"/>
    <w:rsid w:val="00551FFF"/>
    <w:rsid w:val="005574A5"/>
    <w:rsid w:val="005607A2"/>
    <w:rsid w:val="005633CF"/>
    <w:rsid w:val="005648DE"/>
    <w:rsid w:val="005664DB"/>
    <w:rsid w:val="00567C82"/>
    <w:rsid w:val="00570B6D"/>
    <w:rsid w:val="0057198B"/>
    <w:rsid w:val="00573CFE"/>
    <w:rsid w:val="00577E20"/>
    <w:rsid w:val="00586B6F"/>
    <w:rsid w:val="005969F2"/>
    <w:rsid w:val="00597FAE"/>
    <w:rsid w:val="005A1590"/>
    <w:rsid w:val="005A2ABE"/>
    <w:rsid w:val="005A2C1B"/>
    <w:rsid w:val="005B0D23"/>
    <w:rsid w:val="005B3140"/>
    <w:rsid w:val="005B32A3"/>
    <w:rsid w:val="005C0D44"/>
    <w:rsid w:val="005C566C"/>
    <w:rsid w:val="005C7E69"/>
    <w:rsid w:val="005D0B90"/>
    <w:rsid w:val="005D6405"/>
    <w:rsid w:val="005E0134"/>
    <w:rsid w:val="005E262D"/>
    <w:rsid w:val="005E2DD6"/>
    <w:rsid w:val="005F23D3"/>
    <w:rsid w:val="005F260D"/>
    <w:rsid w:val="005F2DE3"/>
    <w:rsid w:val="005F2F98"/>
    <w:rsid w:val="005F4455"/>
    <w:rsid w:val="005F7E20"/>
    <w:rsid w:val="00600AD8"/>
    <w:rsid w:val="006028CC"/>
    <w:rsid w:val="00605E43"/>
    <w:rsid w:val="006143AD"/>
    <w:rsid w:val="006153BB"/>
    <w:rsid w:val="006346D9"/>
    <w:rsid w:val="0064066E"/>
    <w:rsid w:val="00645055"/>
    <w:rsid w:val="006632F5"/>
    <w:rsid w:val="006652C3"/>
    <w:rsid w:val="00665DD6"/>
    <w:rsid w:val="0066667A"/>
    <w:rsid w:val="00671CBD"/>
    <w:rsid w:val="00673E88"/>
    <w:rsid w:val="0067559D"/>
    <w:rsid w:val="0067586A"/>
    <w:rsid w:val="0067706B"/>
    <w:rsid w:val="0067764D"/>
    <w:rsid w:val="00683E54"/>
    <w:rsid w:val="00685064"/>
    <w:rsid w:val="00686055"/>
    <w:rsid w:val="00691FD0"/>
    <w:rsid w:val="00692148"/>
    <w:rsid w:val="0069263E"/>
    <w:rsid w:val="006A1A1E"/>
    <w:rsid w:val="006A2B54"/>
    <w:rsid w:val="006A69D0"/>
    <w:rsid w:val="006A7E45"/>
    <w:rsid w:val="006B1D69"/>
    <w:rsid w:val="006B3B20"/>
    <w:rsid w:val="006B6DD8"/>
    <w:rsid w:val="006C12B2"/>
    <w:rsid w:val="006C5948"/>
    <w:rsid w:val="006C68DD"/>
    <w:rsid w:val="006E5DDC"/>
    <w:rsid w:val="006F1EF6"/>
    <w:rsid w:val="006F2A74"/>
    <w:rsid w:val="006F4CFC"/>
    <w:rsid w:val="006F4F07"/>
    <w:rsid w:val="006F4FE9"/>
    <w:rsid w:val="00702C59"/>
    <w:rsid w:val="00702FD9"/>
    <w:rsid w:val="00705573"/>
    <w:rsid w:val="007118F5"/>
    <w:rsid w:val="00712AA4"/>
    <w:rsid w:val="00713038"/>
    <w:rsid w:val="007146C4"/>
    <w:rsid w:val="00716DC8"/>
    <w:rsid w:val="0072047F"/>
    <w:rsid w:val="00721AA1"/>
    <w:rsid w:val="007241DB"/>
    <w:rsid w:val="00724B67"/>
    <w:rsid w:val="00733A4A"/>
    <w:rsid w:val="00746A0F"/>
    <w:rsid w:val="0075408C"/>
    <w:rsid w:val="007547F8"/>
    <w:rsid w:val="00765622"/>
    <w:rsid w:val="00765FB1"/>
    <w:rsid w:val="00770B6C"/>
    <w:rsid w:val="0077619D"/>
    <w:rsid w:val="00783FEA"/>
    <w:rsid w:val="00794A72"/>
    <w:rsid w:val="00795A4F"/>
    <w:rsid w:val="00795C21"/>
    <w:rsid w:val="00796882"/>
    <w:rsid w:val="00797225"/>
    <w:rsid w:val="007974F2"/>
    <w:rsid w:val="00797CE0"/>
    <w:rsid w:val="007A3268"/>
    <w:rsid w:val="007A395D"/>
    <w:rsid w:val="007C1E71"/>
    <w:rsid w:val="007C2D1A"/>
    <w:rsid w:val="007C346C"/>
    <w:rsid w:val="007C5218"/>
    <w:rsid w:val="007D34B0"/>
    <w:rsid w:val="007E1468"/>
    <w:rsid w:val="007E21B5"/>
    <w:rsid w:val="007E5172"/>
    <w:rsid w:val="007E5FA6"/>
    <w:rsid w:val="007F3553"/>
    <w:rsid w:val="007F6CD6"/>
    <w:rsid w:val="0080294B"/>
    <w:rsid w:val="00815254"/>
    <w:rsid w:val="00816FB3"/>
    <w:rsid w:val="008211BE"/>
    <w:rsid w:val="00823FB5"/>
    <w:rsid w:val="0082480E"/>
    <w:rsid w:val="0082795A"/>
    <w:rsid w:val="00850293"/>
    <w:rsid w:val="00850AD2"/>
    <w:rsid w:val="00850CCE"/>
    <w:rsid w:val="00851373"/>
    <w:rsid w:val="00851BA6"/>
    <w:rsid w:val="008523AD"/>
    <w:rsid w:val="0085654D"/>
    <w:rsid w:val="00856CB2"/>
    <w:rsid w:val="0086046A"/>
    <w:rsid w:val="00861160"/>
    <w:rsid w:val="0086654F"/>
    <w:rsid w:val="00866566"/>
    <w:rsid w:val="00866BF8"/>
    <w:rsid w:val="00871BED"/>
    <w:rsid w:val="0087335F"/>
    <w:rsid w:val="00873364"/>
    <w:rsid w:val="008812C4"/>
    <w:rsid w:val="00882682"/>
    <w:rsid w:val="00887C18"/>
    <w:rsid w:val="008910A4"/>
    <w:rsid w:val="008A356F"/>
    <w:rsid w:val="008A4653"/>
    <w:rsid w:val="008A4717"/>
    <w:rsid w:val="008A50CC"/>
    <w:rsid w:val="008A70D0"/>
    <w:rsid w:val="008B0493"/>
    <w:rsid w:val="008B1327"/>
    <w:rsid w:val="008B44EB"/>
    <w:rsid w:val="008B686C"/>
    <w:rsid w:val="008B71A4"/>
    <w:rsid w:val="008C0F86"/>
    <w:rsid w:val="008C53AA"/>
    <w:rsid w:val="008C7827"/>
    <w:rsid w:val="008D109E"/>
    <w:rsid w:val="008D1694"/>
    <w:rsid w:val="008D4CFD"/>
    <w:rsid w:val="008D56BC"/>
    <w:rsid w:val="008D6216"/>
    <w:rsid w:val="008D79CB"/>
    <w:rsid w:val="008E0E4D"/>
    <w:rsid w:val="008E40F1"/>
    <w:rsid w:val="008E43D2"/>
    <w:rsid w:val="008E61FC"/>
    <w:rsid w:val="008F07BC"/>
    <w:rsid w:val="00902A9F"/>
    <w:rsid w:val="00907A0E"/>
    <w:rsid w:val="00907F6A"/>
    <w:rsid w:val="00914600"/>
    <w:rsid w:val="00922B29"/>
    <w:rsid w:val="00922F01"/>
    <w:rsid w:val="0092692B"/>
    <w:rsid w:val="0093150B"/>
    <w:rsid w:val="009332CC"/>
    <w:rsid w:val="00941750"/>
    <w:rsid w:val="009435AA"/>
    <w:rsid w:val="00943E9C"/>
    <w:rsid w:val="00946D9F"/>
    <w:rsid w:val="0094718B"/>
    <w:rsid w:val="00953F4D"/>
    <w:rsid w:val="00960BB8"/>
    <w:rsid w:val="0096122C"/>
    <w:rsid w:val="00964831"/>
    <w:rsid w:val="00964F5C"/>
    <w:rsid w:val="0096575B"/>
    <w:rsid w:val="00973AFE"/>
    <w:rsid w:val="00975C95"/>
    <w:rsid w:val="00981935"/>
    <w:rsid w:val="009823EB"/>
    <w:rsid w:val="009831C0"/>
    <w:rsid w:val="00985431"/>
    <w:rsid w:val="00985B6B"/>
    <w:rsid w:val="00990537"/>
    <w:rsid w:val="00990D74"/>
    <w:rsid w:val="0099161D"/>
    <w:rsid w:val="009928A3"/>
    <w:rsid w:val="0099393E"/>
    <w:rsid w:val="009939C5"/>
    <w:rsid w:val="009A0E23"/>
    <w:rsid w:val="009A6DC2"/>
    <w:rsid w:val="009B2581"/>
    <w:rsid w:val="009B4E1D"/>
    <w:rsid w:val="009B6D4C"/>
    <w:rsid w:val="009B78FB"/>
    <w:rsid w:val="009C127B"/>
    <w:rsid w:val="009C2A38"/>
    <w:rsid w:val="009C3737"/>
    <w:rsid w:val="009C704F"/>
    <w:rsid w:val="009D0178"/>
    <w:rsid w:val="009D5A28"/>
    <w:rsid w:val="009E217E"/>
    <w:rsid w:val="009E2528"/>
    <w:rsid w:val="009E3B3C"/>
    <w:rsid w:val="009E4333"/>
    <w:rsid w:val="009E5C67"/>
    <w:rsid w:val="009F141B"/>
    <w:rsid w:val="009F38C3"/>
    <w:rsid w:val="009F481C"/>
    <w:rsid w:val="00A015B1"/>
    <w:rsid w:val="00A02C96"/>
    <w:rsid w:val="00A0389B"/>
    <w:rsid w:val="00A044AB"/>
    <w:rsid w:val="00A23F79"/>
    <w:rsid w:val="00A3207B"/>
    <w:rsid w:val="00A33AE9"/>
    <w:rsid w:val="00A33EFA"/>
    <w:rsid w:val="00A34FB3"/>
    <w:rsid w:val="00A40675"/>
    <w:rsid w:val="00A41C76"/>
    <w:rsid w:val="00A434BD"/>
    <w:rsid w:val="00A446C9"/>
    <w:rsid w:val="00A4701E"/>
    <w:rsid w:val="00A5603C"/>
    <w:rsid w:val="00A56C46"/>
    <w:rsid w:val="00A61927"/>
    <w:rsid w:val="00A62486"/>
    <w:rsid w:val="00A635D6"/>
    <w:rsid w:val="00A66484"/>
    <w:rsid w:val="00A8113F"/>
    <w:rsid w:val="00A81D53"/>
    <w:rsid w:val="00A84A32"/>
    <w:rsid w:val="00A8553A"/>
    <w:rsid w:val="00A87696"/>
    <w:rsid w:val="00A90EF8"/>
    <w:rsid w:val="00A938FA"/>
    <w:rsid w:val="00A93AED"/>
    <w:rsid w:val="00A95CD1"/>
    <w:rsid w:val="00AA6AEC"/>
    <w:rsid w:val="00AB0BEE"/>
    <w:rsid w:val="00AC2537"/>
    <w:rsid w:val="00AC75D0"/>
    <w:rsid w:val="00AC7D84"/>
    <w:rsid w:val="00AD0A05"/>
    <w:rsid w:val="00AD0A80"/>
    <w:rsid w:val="00AD7753"/>
    <w:rsid w:val="00AE1319"/>
    <w:rsid w:val="00AE34BB"/>
    <w:rsid w:val="00AE6039"/>
    <w:rsid w:val="00AF1078"/>
    <w:rsid w:val="00AF1225"/>
    <w:rsid w:val="00B046FC"/>
    <w:rsid w:val="00B12CD7"/>
    <w:rsid w:val="00B226F2"/>
    <w:rsid w:val="00B274DF"/>
    <w:rsid w:val="00B33D66"/>
    <w:rsid w:val="00B35264"/>
    <w:rsid w:val="00B36663"/>
    <w:rsid w:val="00B41FF2"/>
    <w:rsid w:val="00B430C8"/>
    <w:rsid w:val="00B53971"/>
    <w:rsid w:val="00B55141"/>
    <w:rsid w:val="00B563FA"/>
    <w:rsid w:val="00B56BDF"/>
    <w:rsid w:val="00B63C1F"/>
    <w:rsid w:val="00B65812"/>
    <w:rsid w:val="00B66211"/>
    <w:rsid w:val="00B701E5"/>
    <w:rsid w:val="00B703A0"/>
    <w:rsid w:val="00B71A21"/>
    <w:rsid w:val="00B77187"/>
    <w:rsid w:val="00B77820"/>
    <w:rsid w:val="00B831E6"/>
    <w:rsid w:val="00B85CD6"/>
    <w:rsid w:val="00B90A27"/>
    <w:rsid w:val="00B934D3"/>
    <w:rsid w:val="00B9554D"/>
    <w:rsid w:val="00BA4BD6"/>
    <w:rsid w:val="00BA5998"/>
    <w:rsid w:val="00BA6EB4"/>
    <w:rsid w:val="00BB2B9F"/>
    <w:rsid w:val="00BB3BDB"/>
    <w:rsid w:val="00BB5609"/>
    <w:rsid w:val="00BB6B08"/>
    <w:rsid w:val="00BB7D9E"/>
    <w:rsid w:val="00BC208D"/>
    <w:rsid w:val="00BC2334"/>
    <w:rsid w:val="00BD2DCB"/>
    <w:rsid w:val="00BD3CB8"/>
    <w:rsid w:val="00BD4E6F"/>
    <w:rsid w:val="00BE3D7C"/>
    <w:rsid w:val="00BE4F80"/>
    <w:rsid w:val="00BE5708"/>
    <w:rsid w:val="00BF32F0"/>
    <w:rsid w:val="00BF3A20"/>
    <w:rsid w:val="00BF4DCE"/>
    <w:rsid w:val="00BF76EE"/>
    <w:rsid w:val="00BF7C09"/>
    <w:rsid w:val="00C03583"/>
    <w:rsid w:val="00C05CE5"/>
    <w:rsid w:val="00C07184"/>
    <w:rsid w:val="00C073C3"/>
    <w:rsid w:val="00C07B8D"/>
    <w:rsid w:val="00C14AD6"/>
    <w:rsid w:val="00C15222"/>
    <w:rsid w:val="00C24B06"/>
    <w:rsid w:val="00C27D36"/>
    <w:rsid w:val="00C30C16"/>
    <w:rsid w:val="00C31B53"/>
    <w:rsid w:val="00C45BBD"/>
    <w:rsid w:val="00C573C6"/>
    <w:rsid w:val="00C57F60"/>
    <w:rsid w:val="00C6071F"/>
    <w:rsid w:val="00C6171E"/>
    <w:rsid w:val="00C61CFC"/>
    <w:rsid w:val="00C8603A"/>
    <w:rsid w:val="00C926CC"/>
    <w:rsid w:val="00CA14EF"/>
    <w:rsid w:val="00CA235B"/>
    <w:rsid w:val="00CA486A"/>
    <w:rsid w:val="00CA514A"/>
    <w:rsid w:val="00CA6011"/>
    <w:rsid w:val="00CA6F2C"/>
    <w:rsid w:val="00CB43CE"/>
    <w:rsid w:val="00CC5A5D"/>
    <w:rsid w:val="00CC6647"/>
    <w:rsid w:val="00CC6DDA"/>
    <w:rsid w:val="00CD2000"/>
    <w:rsid w:val="00CD69DF"/>
    <w:rsid w:val="00CF14B4"/>
    <w:rsid w:val="00CF1871"/>
    <w:rsid w:val="00CF6899"/>
    <w:rsid w:val="00D0197B"/>
    <w:rsid w:val="00D019CE"/>
    <w:rsid w:val="00D07525"/>
    <w:rsid w:val="00D1133E"/>
    <w:rsid w:val="00D15545"/>
    <w:rsid w:val="00D16DD7"/>
    <w:rsid w:val="00D17A34"/>
    <w:rsid w:val="00D21F8D"/>
    <w:rsid w:val="00D24C00"/>
    <w:rsid w:val="00D26628"/>
    <w:rsid w:val="00D27ABE"/>
    <w:rsid w:val="00D332B3"/>
    <w:rsid w:val="00D44F6C"/>
    <w:rsid w:val="00D4748B"/>
    <w:rsid w:val="00D55207"/>
    <w:rsid w:val="00D729D5"/>
    <w:rsid w:val="00D755BE"/>
    <w:rsid w:val="00D81801"/>
    <w:rsid w:val="00D818A7"/>
    <w:rsid w:val="00D823B6"/>
    <w:rsid w:val="00D853D8"/>
    <w:rsid w:val="00D8681F"/>
    <w:rsid w:val="00D92B45"/>
    <w:rsid w:val="00D93316"/>
    <w:rsid w:val="00D95962"/>
    <w:rsid w:val="00DA34A1"/>
    <w:rsid w:val="00DA45B2"/>
    <w:rsid w:val="00DB224E"/>
    <w:rsid w:val="00DB4CC1"/>
    <w:rsid w:val="00DB7FFD"/>
    <w:rsid w:val="00DC389B"/>
    <w:rsid w:val="00DC5556"/>
    <w:rsid w:val="00DD65C9"/>
    <w:rsid w:val="00DE006B"/>
    <w:rsid w:val="00DE2FEE"/>
    <w:rsid w:val="00DF1153"/>
    <w:rsid w:val="00DF1B0A"/>
    <w:rsid w:val="00DF3973"/>
    <w:rsid w:val="00E00BE9"/>
    <w:rsid w:val="00E01BD8"/>
    <w:rsid w:val="00E068F2"/>
    <w:rsid w:val="00E06CC4"/>
    <w:rsid w:val="00E124E5"/>
    <w:rsid w:val="00E22A11"/>
    <w:rsid w:val="00E24D66"/>
    <w:rsid w:val="00E31E5C"/>
    <w:rsid w:val="00E377B2"/>
    <w:rsid w:val="00E42FFF"/>
    <w:rsid w:val="00E438D0"/>
    <w:rsid w:val="00E44DD2"/>
    <w:rsid w:val="00E45302"/>
    <w:rsid w:val="00E45675"/>
    <w:rsid w:val="00E50A28"/>
    <w:rsid w:val="00E54079"/>
    <w:rsid w:val="00E558C3"/>
    <w:rsid w:val="00E55927"/>
    <w:rsid w:val="00E577FE"/>
    <w:rsid w:val="00E60A2F"/>
    <w:rsid w:val="00E66C0A"/>
    <w:rsid w:val="00E76F37"/>
    <w:rsid w:val="00E8113F"/>
    <w:rsid w:val="00E8221A"/>
    <w:rsid w:val="00E84867"/>
    <w:rsid w:val="00E906CA"/>
    <w:rsid w:val="00E912A6"/>
    <w:rsid w:val="00E91C68"/>
    <w:rsid w:val="00E934F7"/>
    <w:rsid w:val="00E95533"/>
    <w:rsid w:val="00E95DAF"/>
    <w:rsid w:val="00EA114B"/>
    <w:rsid w:val="00EA13EE"/>
    <w:rsid w:val="00EA4844"/>
    <w:rsid w:val="00EA4D9C"/>
    <w:rsid w:val="00EA5A97"/>
    <w:rsid w:val="00EA5D80"/>
    <w:rsid w:val="00EB2B9F"/>
    <w:rsid w:val="00EB2F64"/>
    <w:rsid w:val="00EB464B"/>
    <w:rsid w:val="00EB75EE"/>
    <w:rsid w:val="00EC68C4"/>
    <w:rsid w:val="00ED07DD"/>
    <w:rsid w:val="00EE05DA"/>
    <w:rsid w:val="00EE1343"/>
    <w:rsid w:val="00EE185D"/>
    <w:rsid w:val="00EE4C1D"/>
    <w:rsid w:val="00EF3685"/>
    <w:rsid w:val="00EF63F3"/>
    <w:rsid w:val="00F04350"/>
    <w:rsid w:val="00F133DB"/>
    <w:rsid w:val="00F159EB"/>
    <w:rsid w:val="00F16375"/>
    <w:rsid w:val="00F2419A"/>
    <w:rsid w:val="00F25BF4"/>
    <w:rsid w:val="00F26487"/>
    <w:rsid w:val="00F267DB"/>
    <w:rsid w:val="00F32FDD"/>
    <w:rsid w:val="00F37083"/>
    <w:rsid w:val="00F420E2"/>
    <w:rsid w:val="00F43B0C"/>
    <w:rsid w:val="00F45CD1"/>
    <w:rsid w:val="00F46F6F"/>
    <w:rsid w:val="00F47B1D"/>
    <w:rsid w:val="00F51105"/>
    <w:rsid w:val="00F60608"/>
    <w:rsid w:val="00F62217"/>
    <w:rsid w:val="00F634AD"/>
    <w:rsid w:val="00F64685"/>
    <w:rsid w:val="00F73536"/>
    <w:rsid w:val="00F77173"/>
    <w:rsid w:val="00F944CC"/>
    <w:rsid w:val="00F96ECB"/>
    <w:rsid w:val="00FA1C5B"/>
    <w:rsid w:val="00FB1239"/>
    <w:rsid w:val="00FB17A9"/>
    <w:rsid w:val="00FB2B73"/>
    <w:rsid w:val="00FB3B64"/>
    <w:rsid w:val="00FB527C"/>
    <w:rsid w:val="00FB667F"/>
    <w:rsid w:val="00FB66C9"/>
    <w:rsid w:val="00FB6F75"/>
    <w:rsid w:val="00FB7147"/>
    <w:rsid w:val="00FC0EB3"/>
    <w:rsid w:val="00FC345E"/>
    <w:rsid w:val="00FC44D6"/>
    <w:rsid w:val="00FC56CB"/>
    <w:rsid w:val="00FD03A9"/>
    <w:rsid w:val="00FD080F"/>
    <w:rsid w:val="00FD146F"/>
    <w:rsid w:val="00FD16E8"/>
    <w:rsid w:val="00FD47CD"/>
    <w:rsid w:val="00FD675E"/>
    <w:rsid w:val="00FE0BF0"/>
    <w:rsid w:val="00FE17D8"/>
    <w:rsid w:val="00FE3135"/>
    <w:rsid w:val="00FE5674"/>
    <w:rsid w:val="00FE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66484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A66484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990D74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hAnsi="Calibr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990D74"/>
    <w:pPr>
      <w:numPr>
        <w:numId w:val="22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7C1E71"/>
    <w:pPr>
      <w:numPr>
        <w:numId w:val="17"/>
      </w:numPr>
      <w:spacing w:after="120"/>
    </w:pPr>
    <w:rPr>
      <w:rFonts w:ascii="Calibri" w:hAnsi="Calibr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Body">
    <w:name w:val="Body"/>
    <w:rsid w:val="007F3553"/>
    <w:pPr>
      <w:spacing w:after="200" w:line="276" w:lineRule="auto"/>
      <w:jc w:val="both"/>
    </w:pPr>
    <w:rPr>
      <w:rFonts w:ascii="Helvetica" w:eastAsia="Arial Unicode MS" w:hAnsi="Arial Unicode MS" w:cs="Arial Unicode MS"/>
      <w:color w:val="08374B"/>
      <w:sz w:val="24"/>
      <w:szCs w:val="24"/>
      <w:u w:color="08374B"/>
      <w:lang w:val="en-US" w:eastAsia="en-US"/>
    </w:rPr>
  </w:style>
  <w:style w:type="paragraph" w:customStyle="1" w:styleId="Mybold">
    <w:name w:val="My bold"/>
    <w:basedOn w:val="Normal"/>
    <w:link w:val="MyboldTegn"/>
    <w:autoRedefine/>
    <w:qFormat/>
    <w:rsid w:val="00990D74"/>
    <w:pPr>
      <w:spacing w:after="120"/>
      <w:jc w:val="center"/>
    </w:pPr>
    <w:rPr>
      <w:rFonts w:asciiTheme="minorHAnsi" w:hAnsiTheme="minorHAnsi"/>
      <w:b/>
    </w:rPr>
  </w:style>
  <w:style w:type="character" w:customStyle="1" w:styleId="MyboldTegn">
    <w:name w:val="My bold Tegn"/>
    <w:basedOn w:val="DefaultParagraphFont"/>
    <w:link w:val="Mybold"/>
    <w:rsid w:val="00990D74"/>
    <w:rPr>
      <w:rFonts w:asciiTheme="minorHAnsi" w:hAnsiTheme="minorHAnsi" w:cs="Calibri"/>
      <w:b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221A"/>
    <w:rPr>
      <w:rFonts w:ascii="Gulim" w:eastAsia="Gulim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221A"/>
    <w:rPr>
      <w:rFonts w:ascii="Gulim" w:eastAsia="Gulim" w:hAnsi="Arial" w:cs="Calibr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75A8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A486A"/>
    <w:pP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B551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66484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A66484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990D74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hAnsi="Calibr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990D74"/>
    <w:pPr>
      <w:numPr>
        <w:numId w:val="22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7C1E71"/>
    <w:pPr>
      <w:numPr>
        <w:numId w:val="17"/>
      </w:numPr>
      <w:spacing w:after="120"/>
    </w:pPr>
    <w:rPr>
      <w:rFonts w:ascii="Calibri" w:hAnsi="Calibr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Body">
    <w:name w:val="Body"/>
    <w:rsid w:val="007F3553"/>
    <w:pPr>
      <w:spacing w:after="200" w:line="276" w:lineRule="auto"/>
      <w:jc w:val="both"/>
    </w:pPr>
    <w:rPr>
      <w:rFonts w:ascii="Helvetica" w:eastAsia="Arial Unicode MS" w:hAnsi="Arial Unicode MS" w:cs="Arial Unicode MS"/>
      <w:color w:val="08374B"/>
      <w:sz w:val="24"/>
      <w:szCs w:val="24"/>
      <w:u w:color="08374B"/>
      <w:lang w:val="en-US" w:eastAsia="en-US"/>
    </w:rPr>
  </w:style>
  <w:style w:type="paragraph" w:customStyle="1" w:styleId="Mybold">
    <w:name w:val="My bold"/>
    <w:basedOn w:val="Normal"/>
    <w:link w:val="MyboldTegn"/>
    <w:autoRedefine/>
    <w:qFormat/>
    <w:rsid w:val="00990D74"/>
    <w:pPr>
      <w:spacing w:after="120"/>
      <w:jc w:val="center"/>
    </w:pPr>
    <w:rPr>
      <w:rFonts w:asciiTheme="minorHAnsi" w:hAnsiTheme="minorHAnsi"/>
      <w:b/>
    </w:rPr>
  </w:style>
  <w:style w:type="character" w:customStyle="1" w:styleId="MyboldTegn">
    <w:name w:val="My bold Tegn"/>
    <w:basedOn w:val="DefaultParagraphFont"/>
    <w:link w:val="Mybold"/>
    <w:rsid w:val="00990D74"/>
    <w:rPr>
      <w:rFonts w:asciiTheme="minorHAnsi" w:hAnsiTheme="minorHAnsi" w:cs="Calibri"/>
      <w:b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221A"/>
    <w:rPr>
      <w:rFonts w:ascii="Gulim" w:eastAsia="Gulim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221A"/>
    <w:rPr>
      <w:rFonts w:ascii="Gulim" w:eastAsia="Gulim" w:hAnsi="Arial" w:cs="Calibr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75A8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A486A"/>
    <w:pP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B551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F70B-5DFC-4903-8FD5-E3539C4B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1527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cp:lastPrinted>2018-09-03T22:33:00Z</cp:lastPrinted>
  <dcterms:created xsi:type="dcterms:W3CDTF">2018-09-10T06:49:00Z</dcterms:created>
  <dcterms:modified xsi:type="dcterms:W3CDTF">2018-09-13T08:28:00Z</dcterms:modified>
</cp:coreProperties>
</file>